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CB" w:rsidRPr="008542EC" w:rsidRDefault="00115201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Art. 1 - </w:t>
      </w:r>
      <w:r w:rsidR="00E005CB" w:rsidRPr="008542EC">
        <w:rPr>
          <w:rFonts w:asciiTheme="minorHAnsi" w:hAnsiTheme="minorHAnsi" w:cstheme="minorHAnsi"/>
          <w:b/>
          <w:szCs w:val="20"/>
        </w:rPr>
        <w:t>Disposizioni Generali</w:t>
      </w:r>
    </w:p>
    <w:p w:rsidR="00E005CB" w:rsidRPr="008542EC" w:rsidRDefault="00E005CB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</w:p>
    <w:p w:rsidR="00E005CB" w:rsidRPr="008542EC" w:rsidRDefault="00E005CB" w:rsidP="00E005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Cs/>
        </w:rPr>
      </w:pPr>
      <w:r w:rsidRPr="008542EC">
        <w:rPr>
          <w:rFonts w:asciiTheme="minorHAnsi" w:hAnsiTheme="minorHAnsi" w:cstheme="minorHAnsi"/>
          <w:bCs/>
        </w:rPr>
        <w:t>L'esercizio dell'attività estrattiva comporta l'obbligo</w:t>
      </w:r>
      <w:r w:rsidR="004D0485">
        <w:rPr>
          <w:rFonts w:asciiTheme="minorHAnsi" w:hAnsiTheme="minorHAnsi" w:cstheme="minorHAnsi"/>
          <w:bCs/>
        </w:rPr>
        <w:t xml:space="preserve"> della ditta/società autorizzata</w:t>
      </w:r>
      <w:r w:rsidRPr="008542EC">
        <w:rPr>
          <w:rFonts w:asciiTheme="minorHAnsi" w:hAnsiTheme="minorHAnsi" w:cstheme="minorHAnsi"/>
          <w:bCs/>
        </w:rPr>
        <w:t xml:space="preserve"> di provvedere</w:t>
      </w:r>
      <w:r w:rsidR="004D0485">
        <w:rPr>
          <w:rFonts w:asciiTheme="minorHAnsi" w:hAnsiTheme="minorHAnsi" w:cstheme="minorHAnsi"/>
          <w:bCs/>
        </w:rPr>
        <w:t>, a lavori ultimati,</w:t>
      </w:r>
      <w:r w:rsidRPr="008542EC">
        <w:rPr>
          <w:rFonts w:asciiTheme="minorHAnsi" w:hAnsiTheme="minorHAnsi" w:cstheme="minorHAnsi"/>
          <w:bCs/>
        </w:rPr>
        <w:t xml:space="preserve"> al riassetto ambientale dei luoghi.</w:t>
      </w:r>
    </w:p>
    <w:p w:rsidR="00E005CB" w:rsidRPr="008542EC" w:rsidRDefault="004D0485" w:rsidP="00E005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Cs/>
        </w:rPr>
        <w:t>La ditta/società autorizzata</w:t>
      </w:r>
      <w:r w:rsidR="00E005CB" w:rsidRPr="008542EC">
        <w:rPr>
          <w:rFonts w:asciiTheme="minorHAnsi" w:hAnsiTheme="minorHAnsi" w:cstheme="minorHAnsi"/>
          <w:szCs w:val="20"/>
        </w:rPr>
        <w:t xml:space="preserve">, a pena di decadenza dell’autorizzazione, </w:t>
      </w:r>
      <w:r>
        <w:rPr>
          <w:rFonts w:asciiTheme="minorHAnsi" w:hAnsiTheme="minorHAnsi" w:cstheme="minorHAnsi"/>
          <w:szCs w:val="20"/>
        </w:rPr>
        <w:t>ai sensi dell’art. 5 della L.R. 12/1979,</w:t>
      </w:r>
      <w:r w:rsidR="00E005CB" w:rsidRPr="008542EC">
        <w:rPr>
          <w:rFonts w:asciiTheme="minorHAnsi" w:hAnsiTheme="minorHAnsi" w:cstheme="minorHAnsi"/>
          <w:szCs w:val="20"/>
        </w:rPr>
        <w:t xml:space="preserve"> costituisce un deposito cauzionale</w:t>
      </w:r>
      <w:r w:rsidR="00B00808" w:rsidRPr="00B00808">
        <w:rPr>
          <w:rFonts w:asciiTheme="minorHAnsi" w:hAnsiTheme="minorHAnsi" w:cstheme="minorHAnsi"/>
          <w:szCs w:val="20"/>
        </w:rPr>
        <w:t xml:space="preserve"> </w:t>
      </w:r>
      <w:r w:rsidR="00B00808" w:rsidRPr="008542EC">
        <w:rPr>
          <w:rFonts w:asciiTheme="minorHAnsi" w:hAnsiTheme="minorHAnsi" w:cstheme="minorHAnsi"/>
          <w:szCs w:val="20"/>
        </w:rPr>
        <w:t>in favore dell’Amministrazione regionale</w:t>
      </w:r>
      <w:r w:rsidR="0084204E">
        <w:rPr>
          <w:rFonts w:asciiTheme="minorHAnsi" w:hAnsiTheme="minorHAnsi" w:cstheme="minorHAnsi"/>
          <w:szCs w:val="20"/>
        </w:rPr>
        <w:t>,</w:t>
      </w:r>
      <w:r w:rsidR="00E005CB" w:rsidRPr="008542EC">
        <w:rPr>
          <w:rFonts w:asciiTheme="minorHAnsi" w:hAnsiTheme="minorHAnsi" w:cstheme="minorHAnsi"/>
          <w:szCs w:val="20"/>
        </w:rPr>
        <w:t xml:space="preserve"> a garanzia </w:t>
      </w:r>
      <w:r w:rsidR="0084204E" w:rsidRPr="00620F2F">
        <w:rPr>
          <w:rFonts w:asciiTheme="minorHAnsi" w:hAnsiTheme="minorHAnsi" w:cstheme="minorHAnsi"/>
          <w:bCs/>
        </w:rPr>
        <w:t>della corretta esecuzione dei lavori minerari e della completa realizzazione dei lavori di sistemazione finale</w:t>
      </w:r>
      <w:r w:rsidR="0084204E">
        <w:rPr>
          <w:rFonts w:asciiTheme="minorHAnsi" w:hAnsiTheme="minorHAnsi" w:cstheme="minorHAnsi"/>
          <w:bCs/>
        </w:rPr>
        <w:t>,</w:t>
      </w:r>
      <w:r w:rsidR="0084204E" w:rsidRPr="008542EC">
        <w:rPr>
          <w:rFonts w:asciiTheme="minorHAnsi" w:hAnsiTheme="minorHAnsi" w:cstheme="minorHAnsi"/>
          <w:szCs w:val="20"/>
        </w:rPr>
        <w:t xml:space="preserve"> </w:t>
      </w:r>
      <w:r w:rsidR="00B00808">
        <w:rPr>
          <w:rFonts w:asciiTheme="minorHAnsi" w:hAnsiTheme="minorHAnsi" w:cstheme="minorHAnsi"/>
          <w:szCs w:val="20"/>
        </w:rPr>
        <w:t>finalizzato</w:t>
      </w:r>
      <w:r w:rsidR="00E005CB" w:rsidRPr="008542EC">
        <w:rPr>
          <w:rFonts w:asciiTheme="minorHAnsi" w:hAnsiTheme="minorHAnsi" w:cstheme="minorHAnsi"/>
          <w:szCs w:val="20"/>
        </w:rPr>
        <w:t xml:space="preserve"> a coprire i costi necessari ad assicurare la realizzazione degli interventi di riassetto ambientale dei luog</w:t>
      </w:r>
      <w:r w:rsidR="00B00808">
        <w:rPr>
          <w:rFonts w:asciiTheme="minorHAnsi" w:hAnsiTheme="minorHAnsi" w:cstheme="minorHAnsi"/>
          <w:szCs w:val="20"/>
        </w:rPr>
        <w:t>hi in caso di inadempimento dell’</w:t>
      </w:r>
      <w:r w:rsidR="00E005CB" w:rsidRPr="008542EC">
        <w:rPr>
          <w:rFonts w:asciiTheme="minorHAnsi" w:hAnsiTheme="minorHAnsi" w:cstheme="minorHAnsi"/>
          <w:szCs w:val="20"/>
        </w:rPr>
        <w:t>obbligato</w:t>
      </w:r>
      <w:r w:rsidR="00B00808">
        <w:rPr>
          <w:rFonts w:asciiTheme="minorHAnsi" w:hAnsiTheme="minorHAnsi" w:cstheme="minorHAnsi"/>
          <w:szCs w:val="20"/>
        </w:rPr>
        <w:t xml:space="preserve"> e dell’eventuale coobbligato in solido (proprietario del fondo, se diverso dalla ditta/società autorizzata</w:t>
      </w:r>
      <w:r w:rsidR="00F63FB5">
        <w:rPr>
          <w:rFonts w:asciiTheme="minorHAnsi" w:hAnsiTheme="minorHAnsi" w:cstheme="minorHAnsi"/>
          <w:szCs w:val="20"/>
        </w:rPr>
        <w:t>)</w:t>
      </w:r>
      <w:r w:rsidR="00E005CB" w:rsidRPr="008542EC">
        <w:rPr>
          <w:rFonts w:asciiTheme="minorHAnsi" w:hAnsiTheme="minorHAnsi" w:cstheme="minorHAnsi"/>
          <w:szCs w:val="20"/>
        </w:rPr>
        <w:t>.</w:t>
      </w:r>
    </w:p>
    <w:p w:rsidR="00E005CB" w:rsidRPr="008542EC" w:rsidRDefault="00E005CB" w:rsidP="00E005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542EC">
        <w:rPr>
          <w:rFonts w:asciiTheme="minorHAnsi" w:hAnsiTheme="minorHAnsi" w:cstheme="minorHAnsi"/>
          <w:szCs w:val="20"/>
        </w:rPr>
        <w:t xml:space="preserve">Il deposito </w:t>
      </w:r>
      <w:r w:rsidR="004C7478">
        <w:rPr>
          <w:rFonts w:asciiTheme="minorHAnsi" w:hAnsiTheme="minorHAnsi" w:cstheme="minorHAnsi"/>
          <w:szCs w:val="20"/>
        </w:rPr>
        <w:t>cauzionale</w:t>
      </w:r>
      <w:r w:rsidRPr="008542EC">
        <w:rPr>
          <w:rFonts w:asciiTheme="minorHAnsi" w:hAnsiTheme="minorHAnsi" w:cstheme="minorHAnsi"/>
          <w:szCs w:val="20"/>
        </w:rPr>
        <w:t xml:space="preserve"> è costituito prima dell’</w:t>
      </w:r>
      <w:r w:rsidR="00B00808">
        <w:rPr>
          <w:rFonts w:asciiTheme="minorHAnsi" w:hAnsiTheme="minorHAnsi" w:cstheme="minorHAnsi"/>
          <w:szCs w:val="20"/>
        </w:rPr>
        <w:t>avvio delle attività estrattive</w:t>
      </w:r>
      <w:r w:rsidR="008214C1">
        <w:rPr>
          <w:rFonts w:asciiTheme="minorHAnsi" w:hAnsiTheme="minorHAnsi" w:cstheme="minorHAnsi"/>
          <w:szCs w:val="20"/>
        </w:rPr>
        <w:t xml:space="preserve"> e il relativo contratto quietanzato </w:t>
      </w:r>
      <w:r w:rsidR="008D251F">
        <w:rPr>
          <w:rFonts w:asciiTheme="minorHAnsi" w:hAnsiTheme="minorHAnsi" w:cstheme="minorHAnsi"/>
          <w:szCs w:val="20"/>
        </w:rPr>
        <w:t xml:space="preserve">è sempre </w:t>
      </w:r>
      <w:r w:rsidR="00104C1C">
        <w:rPr>
          <w:rFonts w:asciiTheme="minorHAnsi" w:hAnsiTheme="minorHAnsi" w:cstheme="minorHAnsi"/>
          <w:szCs w:val="20"/>
        </w:rPr>
        <w:t>trasmessa</w:t>
      </w:r>
      <w:r w:rsidR="00A24B37">
        <w:rPr>
          <w:rFonts w:asciiTheme="minorHAnsi" w:hAnsiTheme="minorHAnsi" w:cstheme="minorHAnsi"/>
          <w:szCs w:val="20"/>
        </w:rPr>
        <w:t xml:space="preserve"> all’</w:t>
      </w:r>
      <w:r w:rsidR="00B00808">
        <w:rPr>
          <w:rFonts w:asciiTheme="minorHAnsi" w:hAnsiTheme="minorHAnsi" w:cstheme="minorHAnsi"/>
          <w:szCs w:val="20"/>
        </w:rPr>
        <w:t xml:space="preserve">Ufficio </w:t>
      </w:r>
      <w:r w:rsidR="00A24B37">
        <w:rPr>
          <w:rFonts w:asciiTheme="minorHAnsi" w:hAnsiTheme="minorHAnsi" w:cstheme="minorHAnsi"/>
          <w:szCs w:val="20"/>
        </w:rPr>
        <w:t xml:space="preserve">Difesa del Suolo, Geologia e Attività Estrattive </w:t>
      </w:r>
      <w:r w:rsidR="00104C1C">
        <w:rPr>
          <w:rFonts w:asciiTheme="minorHAnsi" w:hAnsiTheme="minorHAnsi" w:cstheme="minorHAnsi"/>
          <w:szCs w:val="20"/>
        </w:rPr>
        <w:t>prima dell’inizio dei lavori</w:t>
      </w:r>
      <w:r w:rsidR="00B00808">
        <w:rPr>
          <w:rFonts w:asciiTheme="minorHAnsi" w:hAnsiTheme="minorHAnsi" w:cstheme="minorHAnsi"/>
          <w:szCs w:val="20"/>
        </w:rPr>
        <w:t>.</w:t>
      </w:r>
      <w:r w:rsidR="00104C1C">
        <w:rPr>
          <w:rFonts w:asciiTheme="minorHAnsi" w:hAnsiTheme="minorHAnsi" w:cstheme="minorHAnsi"/>
          <w:szCs w:val="20"/>
        </w:rPr>
        <w:t xml:space="preserve"> La mancata costituzione del deposito cauzionale </w:t>
      </w:r>
      <w:r w:rsidR="00DC10A6">
        <w:rPr>
          <w:rFonts w:asciiTheme="minorHAnsi" w:hAnsiTheme="minorHAnsi" w:cstheme="minorHAnsi"/>
          <w:szCs w:val="20"/>
        </w:rPr>
        <w:t>è ostativa al</w:t>
      </w:r>
      <w:r w:rsidR="00104C1C">
        <w:rPr>
          <w:rFonts w:asciiTheme="minorHAnsi" w:hAnsiTheme="minorHAnsi" w:cstheme="minorHAnsi"/>
          <w:szCs w:val="20"/>
        </w:rPr>
        <w:t>l’inizio dei lavori.</w:t>
      </w:r>
    </w:p>
    <w:p w:rsidR="00E005CB" w:rsidRPr="00DC10A6" w:rsidRDefault="00E005CB" w:rsidP="00DC10A6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542EC">
        <w:rPr>
          <w:rFonts w:asciiTheme="minorHAnsi" w:hAnsiTheme="minorHAnsi" w:cstheme="minorHAnsi"/>
          <w:szCs w:val="20"/>
        </w:rPr>
        <w:t xml:space="preserve">Nel provvedimento </w:t>
      </w:r>
      <w:r w:rsidR="00104C1C">
        <w:rPr>
          <w:rFonts w:asciiTheme="minorHAnsi" w:hAnsiTheme="minorHAnsi" w:cstheme="minorHAnsi"/>
          <w:szCs w:val="20"/>
        </w:rPr>
        <w:t>autorizzativo</w:t>
      </w:r>
      <w:r w:rsidRPr="008542EC">
        <w:rPr>
          <w:rFonts w:asciiTheme="minorHAnsi" w:hAnsiTheme="minorHAnsi" w:cstheme="minorHAnsi"/>
          <w:szCs w:val="20"/>
        </w:rPr>
        <w:t xml:space="preserve"> è </w:t>
      </w:r>
      <w:r w:rsidR="00104C1C">
        <w:rPr>
          <w:rFonts w:asciiTheme="minorHAnsi" w:hAnsiTheme="minorHAnsi" w:cstheme="minorHAnsi"/>
          <w:szCs w:val="20"/>
        </w:rPr>
        <w:t>stabilito</w:t>
      </w:r>
      <w:r w:rsidRPr="008542EC">
        <w:rPr>
          <w:rFonts w:asciiTheme="minorHAnsi" w:hAnsiTheme="minorHAnsi" w:cstheme="minorHAnsi"/>
          <w:szCs w:val="20"/>
        </w:rPr>
        <w:t xml:space="preserve"> un cronoprogramma</w:t>
      </w:r>
      <w:r w:rsidR="00104C1C">
        <w:rPr>
          <w:rFonts w:asciiTheme="minorHAnsi" w:hAnsiTheme="minorHAnsi" w:cstheme="minorHAnsi"/>
          <w:szCs w:val="20"/>
        </w:rPr>
        <w:t>,</w:t>
      </w:r>
      <w:r w:rsidRPr="008542EC">
        <w:rPr>
          <w:rFonts w:asciiTheme="minorHAnsi" w:hAnsiTheme="minorHAnsi" w:cstheme="minorHAnsi"/>
          <w:szCs w:val="20"/>
        </w:rPr>
        <w:t xml:space="preserve"> a stati di avanzamento lavori</w:t>
      </w:r>
      <w:r w:rsidR="00104C1C">
        <w:rPr>
          <w:rFonts w:asciiTheme="minorHAnsi" w:hAnsiTheme="minorHAnsi" w:cstheme="minorHAnsi"/>
          <w:szCs w:val="20"/>
        </w:rPr>
        <w:t xml:space="preserve"> </w:t>
      </w:r>
      <w:r w:rsidRPr="008542EC">
        <w:rPr>
          <w:rFonts w:asciiTheme="minorHAnsi" w:hAnsiTheme="minorHAnsi" w:cstheme="minorHAnsi"/>
          <w:szCs w:val="20"/>
        </w:rPr>
        <w:t>(Fasi)</w:t>
      </w:r>
      <w:r w:rsidR="00104C1C">
        <w:rPr>
          <w:rFonts w:asciiTheme="minorHAnsi" w:hAnsiTheme="minorHAnsi" w:cstheme="minorHAnsi"/>
          <w:szCs w:val="20"/>
        </w:rPr>
        <w:t>,</w:t>
      </w:r>
      <w:r w:rsidRPr="008542EC">
        <w:rPr>
          <w:rFonts w:asciiTheme="minorHAnsi" w:hAnsiTheme="minorHAnsi" w:cstheme="minorHAnsi"/>
          <w:szCs w:val="20"/>
        </w:rPr>
        <w:t xml:space="preserve"> </w:t>
      </w:r>
      <w:r w:rsidR="00025564">
        <w:rPr>
          <w:rFonts w:asciiTheme="minorHAnsi" w:hAnsiTheme="minorHAnsi" w:cstheme="minorHAnsi"/>
          <w:szCs w:val="20"/>
        </w:rPr>
        <w:t>riportante</w:t>
      </w:r>
      <w:r w:rsidRPr="008542EC">
        <w:rPr>
          <w:rFonts w:asciiTheme="minorHAnsi" w:hAnsiTheme="minorHAnsi" w:cstheme="minorHAnsi"/>
          <w:szCs w:val="20"/>
        </w:rPr>
        <w:t xml:space="preserve"> le attività di coltivazione mineraria, le opere di riassetto ambientale dei luoghi e la costituzione</w:t>
      </w:r>
      <w:r w:rsidR="00025564">
        <w:rPr>
          <w:rFonts w:asciiTheme="minorHAnsi" w:hAnsiTheme="minorHAnsi" w:cstheme="minorHAnsi"/>
          <w:szCs w:val="20"/>
        </w:rPr>
        <w:t>, per ciascuna fase,</w:t>
      </w:r>
      <w:r w:rsidR="00FB32B3">
        <w:rPr>
          <w:rFonts w:asciiTheme="minorHAnsi" w:hAnsiTheme="minorHAnsi" w:cstheme="minorHAnsi"/>
          <w:szCs w:val="20"/>
        </w:rPr>
        <w:t xml:space="preserve"> di un deposito cauzionale</w:t>
      </w:r>
      <w:r w:rsidRPr="008542EC">
        <w:rPr>
          <w:rFonts w:asciiTheme="minorHAnsi" w:hAnsiTheme="minorHAnsi" w:cstheme="minorHAnsi"/>
          <w:szCs w:val="20"/>
        </w:rPr>
        <w:t xml:space="preserve"> a garanzia dell’ultimazione delle stesse.</w:t>
      </w:r>
      <w:r w:rsidR="00DC10A6" w:rsidRPr="00DC10A6">
        <w:rPr>
          <w:rFonts w:asciiTheme="minorHAnsi" w:hAnsiTheme="minorHAnsi" w:cstheme="minorHAnsi"/>
          <w:szCs w:val="20"/>
        </w:rPr>
        <w:t xml:space="preserve"> </w:t>
      </w:r>
    </w:p>
    <w:p w:rsidR="00E005CB" w:rsidRPr="00DC10A6" w:rsidRDefault="00DC10A6" w:rsidP="00DC10A6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L'importo</w:t>
      </w:r>
      <w:r w:rsidRPr="008542EC">
        <w:rPr>
          <w:rFonts w:asciiTheme="minorHAnsi" w:hAnsiTheme="minorHAnsi" w:cstheme="minorHAnsi"/>
          <w:szCs w:val="20"/>
        </w:rPr>
        <w:t xml:space="preserve"> del deposito a garanzia </w:t>
      </w:r>
      <w:r w:rsidRPr="00D121F2">
        <w:rPr>
          <w:rFonts w:asciiTheme="minorHAnsi" w:hAnsiTheme="minorHAnsi" w:cstheme="minorHAnsi"/>
          <w:szCs w:val="20"/>
        </w:rPr>
        <w:t>è stabilito dal provvedimento deliberativo</w:t>
      </w:r>
      <w:r w:rsidRPr="008542EC">
        <w:rPr>
          <w:rFonts w:asciiTheme="minorHAnsi" w:hAnsiTheme="minorHAnsi" w:cstheme="minorHAnsi"/>
          <w:szCs w:val="20"/>
        </w:rPr>
        <w:t xml:space="preserve"> di autorizzazione all'attività estrattiva</w:t>
      </w:r>
      <w:r>
        <w:rPr>
          <w:rFonts w:asciiTheme="minorHAnsi" w:hAnsiTheme="minorHAnsi" w:cstheme="minorHAnsi"/>
          <w:szCs w:val="20"/>
        </w:rPr>
        <w:t xml:space="preserve"> ed è determinato per singola fase</w:t>
      </w:r>
      <w:r w:rsidR="00354F02">
        <w:rPr>
          <w:rFonts w:asciiTheme="minorHAnsi" w:hAnsiTheme="minorHAnsi" w:cstheme="minorHAnsi"/>
          <w:szCs w:val="20"/>
        </w:rPr>
        <w:t>.</w:t>
      </w:r>
    </w:p>
    <w:p w:rsidR="00E005CB" w:rsidRPr="008424A0" w:rsidRDefault="00E005CB" w:rsidP="00AF683E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424A0">
        <w:rPr>
          <w:rFonts w:asciiTheme="minorHAnsi" w:hAnsiTheme="minorHAnsi" w:cstheme="minorHAnsi"/>
          <w:szCs w:val="20"/>
        </w:rPr>
        <w:t>I</w:t>
      </w:r>
      <w:r w:rsidR="00196185" w:rsidRPr="008424A0">
        <w:rPr>
          <w:rFonts w:asciiTheme="minorHAnsi" w:hAnsiTheme="minorHAnsi" w:cstheme="minorHAnsi"/>
          <w:szCs w:val="20"/>
        </w:rPr>
        <w:t>l deposito cauzionale a garanzia è rilasciato</w:t>
      </w:r>
      <w:r w:rsidRPr="008424A0">
        <w:rPr>
          <w:rFonts w:asciiTheme="minorHAnsi" w:hAnsiTheme="minorHAnsi" w:cstheme="minorHAnsi"/>
          <w:szCs w:val="20"/>
        </w:rPr>
        <w:t xml:space="preserve"> </w:t>
      </w:r>
      <w:r w:rsidR="00110002" w:rsidRPr="008424A0">
        <w:rPr>
          <w:rFonts w:asciiTheme="minorHAnsi" w:hAnsiTheme="minorHAnsi" w:cstheme="minorHAnsi"/>
          <w:szCs w:val="20"/>
        </w:rPr>
        <w:t>in favore dell’Amministrazione regionale secondo gli schemi a</w:t>
      </w:r>
      <w:r w:rsidR="00AF683E" w:rsidRPr="008424A0">
        <w:rPr>
          <w:rFonts w:asciiTheme="minorHAnsi" w:hAnsiTheme="minorHAnsi" w:cstheme="minorHAnsi"/>
          <w:szCs w:val="20"/>
        </w:rPr>
        <w:t>llegati</w:t>
      </w:r>
      <w:r w:rsidR="00DC10A6">
        <w:rPr>
          <w:rFonts w:asciiTheme="minorHAnsi" w:hAnsiTheme="minorHAnsi" w:cstheme="minorHAnsi"/>
          <w:szCs w:val="20"/>
        </w:rPr>
        <w:t xml:space="preserve"> al presente disciplinare (</w:t>
      </w:r>
      <w:r w:rsidR="00DC10A6" w:rsidRPr="009008EF">
        <w:rPr>
          <w:rFonts w:asciiTheme="minorHAnsi" w:hAnsiTheme="minorHAnsi" w:cstheme="minorHAnsi"/>
          <w:szCs w:val="20"/>
        </w:rPr>
        <w:t>All</w:t>
      </w:r>
      <w:r w:rsidR="004E4289">
        <w:rPr>
          <w:rFonts w:asciiTheme="minorHAnsi" w:hAnsiTheme="minorHAnsi" w:cstheme="minorHAnsi"/>
          <w:szCs w:val="20"/>
        </w:rPr>
        <w:t>egato 1, Allegato 2, Allegato 3</w:t>
      </w:r>
      <w:r w:rsidR="00DC10A6">
        <w:rPr>
          <w:rFonts w:asciiTheme="minorHAnsi" w:hAnsiTheme="minorHAnsi" w:cstheme="minorHAnsi"/>
          <w:szCs w:val="20"/>
        </w:rPr>
        <w:t xml:space="preserve">). La relativa quietanza trasmessa all’Ufficio </w:t>
      </w:r>
      <w:r w:rsidR="00CD3EEB">
        <w:rPr>
          <w:rFonts w:asciiTheme="minorHAnsi" w:hAnsiTheme="minorHAnsi" w:cstheme="minorHAnsi"/>
          <w:szCs w:val="20"/>
        </w:rPr>
        <w:t>Difesa del Suolo, Geologia e Attività Estrattive</w:t>
      </w:r>
      <w:r w:rsidR="00CD3EEB">
        <w:rPr>
          <w:rFonts w:asciiTheme="minorHAnsi" w:hAnsiTheme="minorHAnsi" w:cstheme="minorHAnsi"/>
          <w:szCs w:val="20"/>
        </w:rPr>
        <w:t xml:space="preserve"> </w:t>
      </w:r>
      <w:r w:rsidR="00DC10A6">
        <w:rPr>
          <w:rFonts w:asciiTheme="minorHAnsi" w:hAnsiTheme="minorHAnsi" w:cstheme="minorHAnsi"/>
          <w:szCs w:val="20"/>
        </w:rPr>
        <w:t>deve obbligatoriamente riportare, a pena di inammissibilità, le informazioni richieste dal pertinente schema</w:t>
      </w:r>
      <w:r w:rsidR="00CD3EEB">
        <w:rPr>
          <w:rFonts w:asciiTheme="minorHAnsi" w:hAnsiTheme="minorHAnsi" w:cstheme="minorHAnsi"/>
          <w:szCs w:val="20"/>
        </w:rPr>
        <w:t xml:space="preserve"> allegato</w:t>
      </w:r>
      <w:r w:rsidR="00DC10A6">
        <w:rPr>
          <w:rFonts w:asciiTheme="minorHAnsi" w:hAnsiTheme="minorHAnsi" w:cstheme="minorHAnsi"/>
          <w:szCs w:val="20"/>
        </w:rPr>
        <w:t xml:space="preserve">. </w:t>
      </w:r>
    </w:p>
    <w:p w:rsidR="00E005CB" w:rsidRPr="008424A0" w:rsidRDefault="00E65067" w:rsidP="008424A0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424A0">
        <w:rPr>
          <w:rFonts w:asciiTheme="minorHAnsi" w:hAnsiTheme="minorHAnsi" w:cstheme="minorHAnsi"/>
          <w:szCs w:val="20"/>
        </w:rPr>
        <w:t>La ditta/società autorizzata adegua il deposito cauzionale a</w:t>
      </w:r>
      <w:r w:rsidR="00E005CB" w:rsidRPr="008424A0">
        <w:rPr>
          <w:rFonts w:asciiTheme="minorHAnsi" w:hAnsiTheme="minorHAnsi" w:cstheme="minorHAnsi"/>
          <w:szCs w:val="20"/>
        </w:rPr>
        <w:t xml:space="preserve"> garanzia ogni due (2) anni, </w:t>
      </w:r>
      <w:r w:rsidRPr="008424A0">
        <w:rPr>
          <w:rFonts w:asciiTheme="minorHAnsi" w:hAnsiTheme="minorHAnsi" w:cstheme="minorHAnsi"/>
          <w:szCs w:val="20"/>
        </w:rPr>
        <w:t>avvalendosi dello schema di cui all’ “Allegato 4”, in base all</w:t>
      </w:r>
      <w:r w:rsidR="00E005CB" w:rsidRPr="008424A0">
        <w:rPr>
          <w:rFonts w:asciiTheme="minorHAnsi" w:hAnsiTheme="minorHAnsi" w:cstheme="minorHAnsi"/>
          <w:szCs w:val="20"/>
        </w:rPr>
        <w:t>’aggiornamento del prezziario per l’esecuzione delle Opere Pubbliche della Regione Basilicata.</w:t>
      </w:r>
      <w:r w:rsidR="004A2322" w:rsidRPr="008424A0">
        <w:rPr>
          <w:rFonts w:asciiTheme="minorHAnsi" w:hAnsiTheme="minorHAnsi" w:cstheme="minorHAnsi"/>
          <w:szCs w:val="20"/>
        </w:rPr>
        <w:t xml:space="preserve"> In caso di </w:t>
      </w:r>
      <w:r w:rsidR="008424A0" w:rsidRPr="008424A0">
        <w:rPr>
          <w:rFonts w:asciiTheme="minorHAnsi" w:hAnsiTheme="minorHAnsi" w:cstheme="minorHAnsi"/>
          <w:szCs w:val="20"/>
        </w:rPr>
        <w:t xml:space="preserve">omesso </w:t>
      </w:r>
      <w:r w:rsidR="004A2322" w:rsidRPr="008424A0">
        <w:rPr>
          <w:rFonts w:asciiTheme="minorHAnsi" w:hAnsiTheme="minorHAnsi" w:cstheme="minorHAnsi"/>
          <w:szCs w:val="20"/>
        </w:rPr>
        <w:t xml:space="preserve">adeguamento del deposito cauzionale, </w:t>
      </w:r>
      <w:r w:rsidR="008424A0" w:rsidRPr="008424A0">
        <w:rPr>
          <w:rFonts w:asciiTheme="minorHAnsi" w:hAnsiTheme="minorHAnsi" w:cstheme="minorHAnsi"/>
          <w:szCs w:val="20"/>
        </w:rPr>
        <w:t xml:space="preserve">l’Ufficio </w:t>
      </w:r>
      <w:r w:rsidR="008B325D">
        <w:rPr>
          <w:rFonts w:asciiTheme="minorHAnsi" w:hAnsiTheme="minorHAnsi" w:cstheme="minorHAnsi"/>
          <w:szCs w:val="20"/>
        </w:rPr>
        <w:t>Difesa del Suolo, Geologia e Attività Estrattive</w:t>
      </w:r>
      <w:r w:rsidR="008424A0" w:rsidRPr="008424A0">
        <w:rPr>
          <w:rFonts w:asciiTheme="minorHAnsi" w:hAnsiTheme="minorHAnsi" w:cstheme="minorHAnsi"/>
          <w:szCs w:val="20"/>
        </w:rPr>
        <w:t xml:space="preserve">, previa diffida, sospende </w:t>
      </w:r>
      <w:r w:rsidR="004A2322" w:rsidRPr="008424A0">
        <w:rPr>
          <w:rFonts w:asciiTheme="minorHAnsi" w:hAnsiTheme="minorHAnsi" w:cstheme="minorHAnsi"/>
          <w:szCs w:val="20"/>
        </w:rPr>
        <w:t xml:space="preserve">i lavori di coltivazione e, in caso di </w:t>
      </w:r>
      <w:r w:rsidR="008424A0" w:rsidRPr="008424A0">
        <w:rPr>
          <w:rFonts w:asciiTheme="minorHAnsi" w:hAnsiTheme="minorHAnsi" w:cstheme="minorHAnsi"/>
          <w:szCs w:val="20"/>
        </w:rPr>
        <w:t>perdurante</w:t>
      </w:r>
      <w:r w:rsidR="004A2322" w:rsidRPr="008424A0">
        <w:rPr>
          <w:rFonts w:asciiTheme="minorHAnsi" w:hAnsiTheme="minorHAnsi" w:cstheme="minorHAnsi"/>
          <w:szCs w:val="20"/>
        </w:rPr>
        <w:t xml:space="preserve"> inottemperanza, </w:t>
      </w:r>
      <w:r w:rsidR="008424A0" w:rsidRPr="008424A0">
        <w:rPr>
          <w:rFonts w:asciiTheme="minorHAnsi" w:hAnsiTheme="minorHAnsi" w:cstheme="minorHAnsi"/>
          <w:szCs w:val="20"/>
        </w:rPr>
        <w:t xml:space="preserve">la Giunta regionale pronuncia la </w:t>
      </w:r>
      <w:r w:rsidR="004A2322" w:rsidRPr="008424A0">
        <w:rPr>
          <w:rFonts w:asciiTheme="minorHAnsi" w:hAnsiTheme="minorHAnsi" w:cstheme="minorHAnsi"/>
          <w:szCs w:val="20"/>
        </w:rPr>
        <w:t>decadenza dell’autorizzazione</w:t>
      </w:r>
      <w:r w:rsidR="008424A0" w:rsidRPr="008424A0">
        <w:rPr>
          <w:rFonts w:asciiTheme="minorHAnsi" w:hAnsiTheme="minorHAnsi" w:cstheme="minorHAnsi"/>
          <w:szCs w:val="20"/>
        </w:rPr>
        <w:t>, ai sensi de</w:t>
      </w:r>
      <w:r w:rsidR="004A2322" w:rsidRPr="008424A0">
        <w:rPr>
          <w:rFonts w:asciiTheme="minorHAnsi" w:hAnsiTheme="minorHAnsi" w:cstheme="minorHAnsi"/>
          <w:szCs w:val="20"/>
        </w:rPr>
        <w:t xml:space="preserve">ll’art. 8 della L.R. </w:t>
      </w:r>
      <w:r w:rsidR="008424A0" w:rsidRPr="008424A0">
        <w:rPr>
          <w:rFonts w:asciiTheme="minorHAnsi" w:hAnsiTheme="minorHAnsi" w:cstheme="minorHAnsi"/>
          <w:szCs w:val="20"/>
        </w:rPr>
        <w:t>27 marzo 1979, n. 12.</w:t>
      </w:r>
    </w:p>
    <w:p w:rsidR="00E005CB" w:rsidRPr="008542EC" w:rsidRDefault="00E005CB" w:rsidP="00E005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542EC">
        <w:rPr>
          <w:rFonts w:asciiTheme="minorHAnsi" w:hAnsiTheme="minorHAnsi" w:cstheme="minorHAnsi"/>
          <w:szCs w:val="20"/>
        </w:rPr>
        <w:t xml:space="preserve">La durata </w:t>
      </w:r>
      <w:r w:rsidR="00E65067">
        <w:rPr>
          <w:rFonts w:asciiTheme="minorHAnsi" w:hAnsiTheme="minorHAnsi" w:cstheme="minorHAnsi"/>
          <w:szCs w:val="20"/>
        </w:rPr>
        <w:t>del deposito cauzionale a garanzia è pari alla durata della singola fase lavorativa programmata, come indicata</w:t>
      </w:r>
      <w:r w:rsidRPr="008542EC">
        <w:rPr>
          <w:rFonts w:asciiTheme="minorHAnsi" w:hAnsiTheme="minorHAnsi" w:cstheme="minorHAnsi"/>
          <w:szCs w:val="20"/>
        </w:rPr>
        <w:t xml:space="preserve"> nel</w:t>
      </w:r>
      <w:r w:rsidR="00E65067">
        <w:rPr>
          <w:rFonts w:asciiTheme="minorHAnsi" w:hAnsiTheme="minorHAnsi" w:cstheme="minorHAnsi"/>
          <w:szCs w:val="20"/>
        </w:rPr>
        <w:t xml:space="preserve"> provvedimento deliberativo autorizzativo</w:t>
      </w:r>
      <w:r w:rsidRPr="008542EC">
        <w:rPr>
          <w:rFonts w:asciiTheme="minorHAnsi" w:hAnsiTheme="minorHAnsi" w:cstheme="minorHAnsi"/>
          <w:szCs w:val="20"/>
        </w:rPr>
        <w:t>.</w:t>
      </w:r>
    </w:p>
    <w:p w:rsidR="00DC10A6" w:rsidRDefault="00D52094" w:rsidP="00E005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Il deposito cauzionale</w:t>
      </w:r>
      <w:r w:rsidR="00E005CB" w:rsidRPr="008542EC">
        <w:rPr>
          <w:rFonts w:asciiTheme="minorHAnsi" w:hAnsiTheme="minorHAnsi" w:cstheme="minorHAnsi"/>
          <w:szCs w:val="20"/>
        </w:rPr>
        <w:t xml:space="preserve"> a garanzia</w:t>
      </w:r>
      <w:r>
        <w:rPr>
          <w:rFonts w:asciiTheme="minorHAnsi" w:hAnsiTheme="minorHAnsi" w:cstheme="minorHAnsi"/>
          <w:szCs w:val="20"/>
        </w:rPr>
        <w:t xml:space="preserve"> della singola fase lavorativa</w:t>
      </w:r>
      <w:r w:rsidR="00E005CB" w:rsidRPr="008542EC">
        <w:rPr>
          <w:rFonts w:asciiTheme="minorHAnsi" w:hAnsiTheme="minorHAnsi" w:cstheme="minorHAnsi"/>
          <w:szCs w:val="20"/>
        </w:rPr>
        <w:t xml:space="preserve"> </w:t>
      </w:r>
      <w:r w:rsidR="004809B6">
        <w:rPr>
          <w:rFonts w:asciiTheme="minorHAnsi" w:hAnsiTheme="minorHAnsi" w:cstheme="minorHAnsi"/>
          <w:szCs w:val="20"/>
        </w:rPr>
        <w:t xml:space="preserve">è costituito per l’intera durata della fase; </w:t>
      </w:r>
      <w:r w:rsidR="00E005CB" w:rsidRPr="008542EC">
        <w:rPr>
          <w:rFonts w:asciiTheme="minorHAnsi" w:hAnsiTheme="minorHAnsi" w:cstheme="minorHAnsi"/>
          <w:szCs w:val="20"/>
        </w:rPr>
        <w:t xml:space="preserve">non cessa di </w:t>
      </w:r>
      <w:r>
        <w:rPr>
          <w:rFonts w:asciiTheme="minorHAnsi" w:hAnsiTheme="minorHAnsi" w:cstheme="minorHAnsi"/>
          <w:szCs w:val="20"/>
        </w:rPr>
        <w:t xml:space="preserve">avere </w:t>
      </w:r>
      <w:r w:rsidR="00E005CB" w:rsidRPr="008542EC">
        <w:rPr>
          <w:rFonts w:asciiTheme="minorHAnsi" w:hAnsiTheme="minorHAnsi" w:cstheme="minorHAnsi"/>
          <w:szCs w:val="20"/>
        </w:rPr>
        <w:t xml:space="preserve">efficacia </w:t>
      </w:r>
      <w:r w:rsidR="00F63FB5">
        <w:rPr>
          <w:rFonts w:asciiTheme="minorHAnsi" w:hAnsiTheme="minorHAnsi" w:cstheme="minorHAnsi"/>
          <w:szCs w:val="20"/>
        </w:rPr>
        <w:t>al</w:t>
      </w:r>
      <w:r w:rsidR="00E005CB" w:rsidRPr="008542EC">
        <w:rPr>
          <w:rFonts w:asciiTheme="minorHAnsi" w:hAnsiTheme="minorHAnsi" w:cstheme="minorHAnsi"/>
          <w:szCs w:val="20"/>
        </w:rPr>
        <w:t xml:space="preserve">la scadenza </w:t>
      </w:r>
      <w:r>
        <w:rPr>
          <w:rFonts w:asciiTheme="minorHAnsi" w:hAnsiTheme="minorHAnsi" w:cstheme="minorHAnsi"/>
          <w:szCs w:val="20"/>
        </w:rPr>
        <w:t>contrattuale</w:t>
      </w:r>
      <w:r w:rsidR="00DC10A6">
        <w:rPr>
          <w:rFonts w:asciiTheme="minorHAnsi" w:hAnsiTheme="minorHAnsi" w:cstheme="minorHAnsi"/>
          <w:szCs w:val="20"/>
        </w:rPr>
        <w:t xml:space="preserve"> </w:t>
      </w:r>
      <w:r w:rsidR="004809B6">
        <w:rPr>
          <w:rFonts w:asciiTheme="minorHAnsi" w:hAnsiTheme="minorHAnsi" w:cstheme="minorHAnsi"/>
          <w:szCs w:val="20"/>
        </w:rPr>
        <w:t xml:space="preserve">se la fase lavorativa non si è conclusa ed </w:t>
      </w:r>
      <w:r w:rsidR="004809B6" w:rsidRPr="00011087">
        <w:rPr>
          <w:rFonts w:asciiTheme="minorHAnsi" w:hAnsiTheme="minorHAnsi" w:cstheme="minorHAnsi"/>
          <w:szCs w:val="20"/>
        </w:rPr>
        <w:t>è prorogato fino all’ultimazione</w:t>
      </w:r>
      <w:r w:rsidR="004809B6">
        <w:rPr>
          <w:rFonts w:asciiTheme="minorHAnsi" w:hAnsiTheme="minorHAnsi" w:cstheme="minorHAnsi"/>
          <w:szCs w:val="20"/>
        </w:rPr>
        <w:t xml:space="preserve"> dei lavori conclusivi della fase.</w:t>
      </w:r>
    </w:p>
    <w:p w:rsidR="00E005CB" w:rsidRPr="004809B6" w:rsidRDefault="00DC10A6" w:rsidP="004809B6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Il deposito cauzionale</w:t>
      </w:r>
      <w:r w:rsidRPr="008542EC">
        <w:rPr>
          <w:rFonts w:asciiTheme="minorHAnsi" w:hAnsiTheme="minorHAnsi" w:cstheme="minorHAnsi"/>
          <w:szCs w:val="20"/>
        </w:rPr>
        <w:t xml:space="preserve"> a garanzia</w:t>
      </w:r>
      <w:r>
        <w:rPr>
          <w:rFonts w:asciiTheme="minorHAnsi" w:hAnsiTheme="minorHAnsi" w:cstheme="minorHAnsi"/>
          <w:szCs w:val="20"/>
        </w:rPr>
        <w:t xml:space="preserve"> della singola fase lavorativa</w:t>
      </w:r>
      <w:r w:rsidR="004809B6">
        <w:rPr>
          <w:rFonts w:asciiTheme="minorHAnsi" w:hAnsiTheme="minorHAnsi" w:cstheme="minorHAnsi"/>
          <w:szCs w:val="20"/>
        </w:rPr>
        <w:t xml:space="preserve"> </w:t>
      </w:r>
      <w:r w:rsidRPr="008542EC">
        <w:rPr>
          <w:rFonts w:asciiTheme="minorHAnsi" w:hAnsiTheme="minorHAnsi" w:cstheme="minorHAnsi"/>
          <w:szCs w:val="20"/>
        </w:rPr>
        <w:t xml:space="preserve">non cessa di </w:t>
      </w:r>
      <w:r>
        <w:rPr>
          <w:rFonts w:asciiTheme="minorHAnsi" w:hAnsiTheme="minorHAnsi" w:cstheme="minorHAnsi"/>
          <w:szCs w:val="20"/>
        </w:rPr>
        <w:t xml:space="preserve">avere </w:t>
      </w:r>
      <w:r w:rsidRPr="008542EC">
        <w:rPr>
          <w:rFonts w:asciiTheme="minorHAnsi" w:hAnsiTheme="minorHAnsi" w:cstheme="minorHAnsi"/>
          <w:szCs w:val="20"/>
        </w:rPr>
        <w:t xml:space="preserve">efficacia </w:t>
      </w:r>
      <w:r>
        <w:rPr>
          <w:rFonts w:asciiTheme="minorHAnsi" w:hAnsiTheme="minorHAnsi" w:cstheme="minorHAnsi"/>
          <w:szCs w:val="20"/>
        </w:rPr>
        <w:t>al</w:t>
      </w:r>
      <w:r w:rsidRPr="008542EC">
        <w:rPr>
          <w:rFonts w:asciiTheme="minorHAnsi" w:hAnsiTheme="minorHAnsi" w:cstheme="minorHAnsi"/>
          <w:szCs w:val="20"/>
        </w:rPr>
        <w:t xml:space="preserve">la scadenza </w:t>
      </w:r>
      <w:r w:rsidR="004809B6">
        <w:rPr>
          <w:rFonts w:asciiTheme="minorHAnsi" w:hAnsiTheme="minorHAnsi" w:cstheme="minorHAnsi"/>
          <w:szCs w:val="20"/>
        </w:rPr>
        <w:t>della relativa fase lavorativa</w:t>
      </w:r>
      <w:r w:rsidR="00D52094" w:rsidRPr="004809B6">
        <w:rPr>
          <w:rFonts w:asciiTheme="minorHAnsi" w:hAnsiTheme="minorHAnsi" w:cstheme="minorHAnsi"/>
          <w:szCs w:val="20"/>
        </w:rPr>
        <w:t xml:space="preserve">, al fine di consentire </w:t>
      </w:r>
      <w:r w:rsidR="004809B6">
        <w:rPr>
          <w:rFonts w:asciiTheme="minorHAnsi" w:hAnsiTheme="minorHAnsi" w:cstheme="minorHAnsi"/>
          <w:szCs w:val="20"/>
        </w:rPr>
        <w:t>all’amministrazione regionale la</w:t>
      </w:r>
      <w:r w:rsidR="00E005CB" w:rsidRPr="004809B6">
        <w:rPr>
          <w:rFonts w:asciiTheme="minorHAnsi" w:hAnsiTheme="minorHAnsi" w:cstheme="minorHAnsi"/>
          <w:szCs w:val="20"/>
        </w:rPr>
        <w:t xml:space="preserve"> </w:t>
      </w:r>
      <w:r w:rsidR="00D52094" w:rsidRPr="004809B6">
        <w:rPr>
          <w:rFonts w:asciiTheme="minorHAnsi" w:hAnsiTheme="minorHAnsi" w:cstheme="minorHAnsi"/>
          <w:szCs w:val="20"/>
        </w:rPr>
        <w:t>ver</w:t>
      </w:r>
      <w:r w:rsidR="004809B6">
        <w:rPr>
          <w:rFonts w:asciiTheme="minorHAnsi" w:hAnsiTheme="minorHAnsi" w:cstheme="minorHAnsi"/>
          <w:szCs w:val="20"/>
        </w:rPr>
        <w:t>ifica</w:t>
      </w:r>
      <w:r w:rsidR="00BE7944" w:rsidRPr="004809B6">
        <w:rPr>
          <w:rFonts w:asciiTheme="minorHAnsi" w:hAnsiTheme="minorHAnsi" w:cstheme="minorHAnsi"/>
          <w:szCs w:val="20"/>
        </w:rPr>
        <w:t xml:space="preserve"> </w:t>
      </w:r>
      <w:r w:rsidR="004809B6">
        <w:rPr>
          <w:rFonts w:asciiTheme="minorHAnsi" w:hAnsiTheme="minorHAnsi" w:cstheme="minorHAnsi"/>
          <w:szCs w:val="20"/>
        </w:rPr>
        <w:t>del</w:t>
      </w:r>
      <w:r w:rsidR="00BE7944" w:rsidRPr="004809B6">
        <w:rPr>
          <w:rFonts w:asciiTheme="minorHAnsi" w:hAnsiTheme="minorHAnsi" w:cstheme="minorHAnsi"/>
          <w:szCs w:val="20"/>
        </w:rPr>
        <w:t xml:space="preserve">lo stato dei luoghi </w:t>
      </w:r>
      <w:r w:rsidR="004809B6">
        <w:rPr>
          <w:rFonts w:asciiTheme="minorHAnsi" w:hAnsiTheme="minorHAnsi" w:cstheme="minorHAnsi"/>
          <w:szCs w:val="20"/>
        </w:rPr>
        <w:t>e</w:t>
      </w:r>
      <w:r w:rsidR="00D52094" w:rsidRPr="004809B6">
        <w:rPr>
          <w:rFonts w:asciiTheme="minorHAnsi" w:hAnsiTheme="minorHAnsi" w:cstheme="minorHAnsi"/>
          <w:szCs w:val="20"/>
        </w:rPr>
        <w:t xml:space="preserve">, </w:t>
      </w:r>
      <w:r w:rsidR="00FB0059">
        <w:rPr>
          <w:rFonts w:asciiTheme="minorHAnsi" w:hAnsiTheme="minorHAnsi" w:cstheme="minorHAnsi"/>
          <w:szCs w:val="20"/>
        </w:rPr>
        <w:t>ove ne ricorrano i presupposti</w:t>
      </w:r>
      <w:r w:rsidR="00F63FB5" w:rsidRPr="004809B6">
        <w:rPr>
          <w:rFonts w:asciiTheme="minorHAnsi" w:hAnsiTheme="minorHAnsi" w:cstheme="minorHAnsi"/>
          <w:szCs w:val="20"/>
        </w:rPr>
        <w:t xml:space="preserve">, </w:t>
      </w:r>
      <w:r w:rsidR="00D52094" w:rsidRPr="004809B6">
        <w:rPr>
          <w:rFonts w:asciiTheme="minorHAnsi" w:hAnsiTheme="minorHAnsi" w:cstheme="minorHAnsi"/>
          <w:szCs w:val="20"/>
        </w:rPr>
        <w:t>attivare</w:t>
      </w:r>
      <w:r w:rsidR="00E005CB" w:rsidRPr="004809B6">
        <w:rPr>
          <w:rFonts w:asciiTheme="minorHAnsi" w:hAnsiTheme="minorHAnsi" w:cstheme="minorHAnsi"/>
          <w:szCs w:val="20"/>
        </w:rPr>
        <w:t xml:space="preserve"> le procedure di escussione </w:t>
      </w:r>
      <w:r w:rsidR="00D52094" w:rsidRPr="004809B6">
        <w:rPr>
          <w:rFonts w:asciiTheme="minorHAnsi" w:hAnsiTheme="minorHAnsi" w:cstheme="minorHAnsi"/>
          <w:szCs w:val="20"/>
        </w:rPr>
        <w:t>dello stesso</w:t>
      </w:r>
      <w:r w:rsidR="00BE7944" w:rsidRPr="004809B6">
        <w:rPr>
          <w:rFonts w:asciiTheme="minorHAnsi" w:hAnsiTheme="minorHAnsi" w:cstheme="minorHAnsi"/>
          <w:szCs w:val="20"/>
        </w:rPr>
        <w:t>; ad</w:t>
      </w:r>
      <w:r w:rsidR="00E005CB" w:rsidRPr="004809B6">
        <w:rPr>
          <w:rFonts w:asciiTheme="minorHAnsi" w:hAnsiTheme="minorHAnsi" w:cstheme="minorHAnsi"/>
          <w:szCs w:val="20"/>
        </w:rPr>
        <w:t xml:space="preserve"> avvenuta costituzione del nuovo deposito</w:t>
      </w:r>
      <w:r w:rsidR="00BE7944" w:rsidRPr="004809B6">
        <w:rPr>
          <w:rFonts w:asciiTheme="minorHAnsi" w:hAnsiTheme="minorHAnsi" w:cstheme="minorHAnsi"/>
          <w:szCs w:val="20"/>
        </w:rPr>
        <w:t xml:space="preserve"> cauzionale a</w:t>
      </w:r>
      <w:r w:rsidR="00E005CB" w:rsidRPr="004809B6">
        <w:rPr>
          <w:rFonts w:asciiTheme="minorHAnsi" w:hAnsiTheme="minorHAnsi" w:cstheme="minorHAnsi"/>
          <w:szCs w:val="20"/>
        </w:rPr>
        <w:t xml:space="preserve"> garanzia della fase successiva, il </w:t>
      </w:r>
      <w:r w:rsidR="003F2364" w:rsidRPr="004809B6">
        <w:rPr>
          <w:rFonts w:asciiTheme="minorHAnsi" w:hAnsiTheme="minorHAnsi" w:cstheme="minorHAnsi"/>
          <w:szCs w:val="20"/>
        </w:rPr>
        <w:t>precedente</w:t>
      </w:r>
      <w:r w:rsidR="00E005CB" w:rsidRPr="004809B6">
        <w:rPr>
          <w:rFonts w:asciiTheme="minorHAnsi" w:hAnsiTheme="minorHAnsi" w:cstheme="minorHAnsi"/>
          <w:szCs w:val="20"/>
        </w:rPr>
        <w:t xml:space="preserve"> </w:t>
      </w:r>
      <w:r w:rsidR="00FB0059">
        <w:rPr>
          <w:rFonts w:asciiTheme="minorHAnsi" w:hAnsiTheme="minorHAnsi" w:cstheme="minorHAnsi"/>
          <w:szCs w:val="20"/>
        </w:rPr>
        <w:t xml:space="preserve">deposito cauzionale </w:t>
      </w:r>
      <w:r w:rsidR="003F2364" w:rsidRPr="004809B6">
        <w:rPr>
          <w:rFonts w:asciiTheme="minorHAnsi" w:hAnsiTheme="minorHAnsi" w:cstheme="minorHAnsi"/>
          <w:szCs w:val="20"/>
        </w:rPr>
        <w:t xml:space="preserve">è svincolato e </w:t>
      </w:r>
      <w:r w:rsidR="00E005CB" w:rsidRPr="004809B6">
        <w:rPr>
          <w:rFonts w:asciiTheme="minorHAnsi" w:hAnsiTheme="minorHAnsi" w:cstheme="minorHAnsi"/>
          <w:szCs w:val="20"/>
        </w:rPr>
        <w:t xml:space="preserve">cessa di </w:t>
      </w:r>
      <w:r w:rsidR="003F2364" w:rsidRPr="004809B6">
        <w:rPr>
          <w:rFonts w:asciiTheme="minorHAnsi" w:hAnsiTheme="minorHAnsi" w:cstheme="minorHAnsi"/>
          <w:szCs w:val="20"/>
        </w:rPr>
        <w:t xml:space="preserve">avere </w:t>
      </w:r>
      <w:r w:rsidR="00E005CB" w:rsidRPr="004809B6">
        <w:rPr>
          <w:rFonts w:asciiTheme="minorHAnsi" w:hAnsiTheme="minorHAnsi" w:cstheme="minorHAnsi"/>
          <w:szCs w:val="20"/>
        </w:rPr>
        <w:t>efficacia.</w:t>
      </w:r>
    </w:p>
    <w:p w:rsidR="00FB0059" w:rsidRPr="00D93008" w:rsidRDefault="00D72729" w:rsidP="00D93008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ditta/società autorizzata</w:t>
      </w:r>
      <w:r w:rsidR="00E005CB" w:rsidRPr="008542EC">
        <w:rPr>
          <w:rFonts w:asciiTheme="minorHAnsi" w:hAnsiTheme="minorHAnsi" w:cstheme="minorHAnsi"/>
          <w:szCs w:val="20"/>
        </w:rPr>
        <w:t xml:space="preserve">, </w:t>
      </w:r>
      <w:r w:rsidR="008424A0">
        <w:rPr>
          <w:rFonts w:asciiTheme="minorHAnsi" w:hAnsiTheme="minorHAnsi" w:cstheme="minorHAnsi"/>
          <w:szCs w:val="20"/>
        </w:rPr>
        <w:t xml:space="preserve">prima dell’inizio dei lavori di coltivazione mineraria, </w:t>
      </w:r>
      <w:r>
        <w:rPr>
          <w:rFonts w:asciiTheme="minorHAnsi" w:hAnsiTheme="minorHAnsi" w:cstheme="minorHAnsi"/>
          <w:szCs w:val="20"/>
        </w:rPr>
        <w:t>è tenuta, altresì,</w:t>
      </w:r>
      <w:r w:rsidR="00E005CB" w:rsidRPr="008542EC">
        <w:rPr>
          <w:rFonts w:asciiTheme="minorHAnsi" w:hAnsiTheme="minorHAnsi" w:cstheme="minorHAnsi"/>
          <w:szCs w:val="20"/>
        </w:rPr>
        <w:t xml:space="preserve"> a stipulare una polizza assicurativa per la responsabilità civile per danni causati a terzi nel corso dei la</w:t>
      </w:r>
      <w:r>
        <w:rPr>
          <w:rFonts w:asciiTheme="minorHAnsi" w:hAnsiTheme="minorHAnsi" w:cstheme="minorHAnsi"/>
          <w:szCs w:val="20"/>
        </w:rPr>
        <w:t>vori di coltivazione mineraria; la</w:t>
      </w:r>
      <w:r w:rsidR="00E005CB" w:rsidRPr="008542EC">
        <w:rPr>
          <w:rFonts w:asciiTheme="minorHAnsi" w:hAnsiTheme="minorHAnsi" w:cstheme="minorHAnsi"/>
          <w:szCs w:val="20"/>
        </w:rPr>
        <w:t xml:space="preserve"> polizza può essere costituita </w:t>
      </w:r>
      <w:r>
        <w:rPr>
          <w:rFonts w:asciiTheme="minorHAnsi" w:hAnsiTheme="minorHAnsi" w:cstheme="minorHAnsi"/>
          <w:szCs w:val="20"/>
        </w:rPr>
        <w:t>quale</w:t>
      </w:r>
      <w:r w:rsidR="00E005CB" w:rsidRPr="008542EC">
        <w:rPr>
          <w:rFonts w:asciiTheme="minorHAnsi" w:hAnsiTheme="minorHAnsi" w:cstheme="minorHAnsi"/>
          <w:szCs w:val="20"/>
        </w:rPr>
        <w:t xml:space="preserve"> appendice al contratto principale</w:t>
      </w:r>
      <w:r>
        <w:rPr>
          <w:rFonts w:asciiTheme="minorHAnsi" w:hAnsiTheme="minorHAnsi" w:cstheme="minorHAnsi"/>
          <w:szCs w:val="20"/>
        </w:rPr>
        <w:t xml:space="preserve"> (deposito cauzionale a garanzia), secondo lo schema di cui </w:t>
      </w:r>
      <w:r w:rsidRPr="00884AAD">
        <w:rPr>
          <w:rFonts w:asciiTheme="minorHAnsi" w:hAnsiTheme="minorHAnsi" w:cstheme="minorHAnsi"/>
          <w:szCs w:val="20"/>
        </w:rPr>
        <w:t>all’A</w:t>
      </w:r>
      <w:r w:rsidR="00E005CB" w:rsidRPr="00884AAD">
        <w:rPr>
          <w:rFonts w:asciiTheme="minorHAnsi" w:hAnsiTheme="minorHAnsi" w:cstheme="minorHAnsi"/>
          <w:szCs w:val="20"/>
        </w:rPr>
        <w:t>lleg</w:t>
      </w:r>
      <w:r w:rsidR="00D93008">
        <w:rPr>
          <w:rFonts w:asciiTheme="minorHAnsi" w:hAnsiTheme="minorHAnsi" w:cstheme="minorHAnsi"/>
          <w:szCs w:val="20"/>
        </w:rPr>
        <w:t>ato 5</w:t>
      </w:r>
      <w:r w:rsidR="00963CE7">
        <w:rPr>
          <w:rFonts w:asciiTheme="minorHAnsi" w:hAnsiTheme="minorHAnsi" w:cstheme="minorHAnsi"/>
          <w:szCs w:val="20"/>
        </w:rPr>
        <w:t>.</w:t>
      </w:r>
    </w:p>
    <w:p w:rsidR="00D54B6D" w:rsidRDefault="00D54B6D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</w:p>
    <w:p w:rsidR="00FB0059" w:rsidRDefault="00FB0059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</w:p>
    <w:p w:rsidR="00E005CB" w:rsidRPr="008542EC" w:rsidRDefault="00115201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Art. 2 - </w:t>
      </w:r>
      <w:r w:rsidR="00E005CB" w:rsidRPr="008542EC">
        <w:rPr>
          <w:rFonts w:asciiTheme="minorHAnsi" w:hAnsiTheme="minorHAnsi" w:cstheme="minorHAnsi"/>
          <w:b/>
          <w:szCs w:val="20"/>
        </w:rPr>
        <w:t>Modalità di Costituzione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szCs w:val="20"/>
        </w:rPr>
      </w:pPr>
    </w:p>
    <w:p w:rsidR="00E005CB" w:rsidRPr="000D2576" w:rsidRDefault="00E005CB" w:rsidP="00A24B37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rFonts w:asciiTheme="minorHAnsi" w:hAnsiTheme="minorHAnsi" w:cstheme="minorHAnsi"/>
          <w:szCs w:val="20"/>
        </w:rPr>
      </w:pPr>
      <w:r w:rsidRPr="008542EC">
        <w:rPr>
          <w:rFonts w:asciiTheme="minorHAnsi" w:hAnsiTheme="minorHAnsi" w:cstheme="minorHAnsi"/>
          <w:szCs w:val="20"/>
        </w:rPr>
        <w:t xml:space="preserve">Il deposito cauzionale a garanzia </w:t>
      </w:r>
      <w:r w:rsidR="009008EF">
        <w:rPr>
          <w:rFonts w:asciiTheme="minorHAnsi" w:hAnsiTheme="minorHAnsi" w:cstheme="minorHAnsi"/>
          <w:szCs w:val="20"/>
        </w:rPr>
        <w:t>è</w:t>
      </w:r>
      <w:r w:rsidRPr="008542EC">
        <w:rPr>
          <w:rFonts w:asciiTheme="minorHAnsi" w:hAnsiTheme="minorHAnsi" w:cstheme="minorHAnsi"/>
          <w:szCs w:val="20"/>
        </w:rPr>
        <w:t xml:space="preserve"> costi</w:t>
      </w:r>
      <w:r w:rsidR="000D2576">
        <w:rPr>
          <w:rFonts w:asciiTheme="minorHAnsi" w:hAnsiTheme="minorHAnsi" w:cstheme="minorHAnsi"/>
          <w:szCs w:val="20"/>
        </w:rPr>
        <w:t>tuito, alternativamente, con le seguenti modalità</w:t>
      </w:r>
      <w:r w:rsidRPr="008542EC">
        <w:rPr>
          <w:rFonts w:asciiTheme="minorHAnsi" w:hAnsiTheme="minorHAnsi" w:cstheme="minorHAnsi"/>
          <w:szCs w:val="20"/>
        </w:rPr>
        <w:t>:</w:t>
      </w:r>
    </w:p>
    <w:p w:rsidR="00E005CB" w:rsidRPr="008542EC" w:rsidRDefault="00DF4DA6" w:rsidP="00E005CB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</w:t>
      </w:r>
      <w:r w:rsidR="00E005CB" w:rsidRPr="00B80D7D">
        <w:rPr>
          <w:rFonts w:asciiTheme="minorHAnsi" w:hAnsiTheme="minorHAnsi" w:cstheme="minorHAnsi"/>
          <w:szCs w:val="20"/>
        </w:rPr>
        <w:t>onifico</w:t>
      </w:r>
      <w:r w:rsidR="00E005CB" w:rsidRPr="00B80D7D">
        <w:rPr>
          <w:rFonts w:asciiTheme="minorHAnsi" w:hAnsiTheme="minorHAnsi" w:cstheme="minorHAnsi"/>
          <w:b/>
          <w:szCs w:val="20"/>
        </w:rPr>
        <w:t xml:space="preserve"> </w:t>
      </w:r>
      <w:r w:rsidR="00D54B6D">
        <w:rPr>
          <w:rFonts w:asciiTheme="minorHAnsi" w:hAnsiTheme="minorHAnsi" w:cstheme="minorHAnsi"/>
          <w:szCs w:val="20"/>
        </w:rPr>
        <w:t>b</w:t>
      </w:r>
      <w:r w:rsidR="00E005CB" w:rsidRPr="00B80D7D">
        <w:rPr>
          <w:rFonts w:asciiTheme="minorHAnsi" w:hAnsiTheme="minorHAnsi" w:cstheme="minorHAnsi"/>
          <w:szCs w:val="20"/>
        </w:rPr>
        <w:t>ancario</w:t>
      </w:r>
      <w:r w:rsidR="00E005CB">
        <w:rPr>
          <w:rFonts w:asciiTheme="minorHAnsi" w:hAnsiTheme="minorHAnsi" w:cstheme="minorHAnsi"/>
          <w:szCs w:val="20"/>
        </w:rPr>
        <w:t>;</w:t>
      </w:r>
    </w:p>
    <w:p w:rsidR="000D2576" w:rsidRDefault="00DF4DA6" w:rsidP="000D2576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</w:t>
      </w:r>
      <w:r w:rsidR="009008EF">
        <w:rPr>
          <w:rFonts w:asciiTheme="minorHAnsi" w:hAnsiTheme="minorHAnsi" w:cstheme="minorHAnsi"/>
          <w:szCs w:val="20"/>
        </w:rPr>
        <w:t>ideiussione</w:t>
      </w:r>
      <w:r w:rsidR="00E005CB" w:rsidRPr="000D2576">
        <w:rPr>
          <w:rFonts w:asciiTheme="minorHAnsi" w:hAnsiTheme="minorHAnsi" w:cstheme="minorHAnsi"/>
          <w:szCs w:val="20"/>
        </w:rPr>
        <w:t xml:space="preserve"> bancari</w:t>
      </w:r>
      <w:r w:rsidR="009008EF">
        <w:rPr>
          <w:rFonts w:asciiTheme="minorHAnsi" w:hAnsiTheme="minorHAnsi" w:cstheme="minorHAnsi"/>
          <w:szCs w:val="20"/>
        </w:rPr>
        <w:t>a</w:t>
      </w:r>
      <w:r w:rsidR="000D2576" w:rsidRPr="000D2576">
        <w:rPr>
          <w:rFonts w:asciiTheme="minorHAnsi" w:hAnsiTheme="minorHAnsi" w:cstheme="minorHAnsi"/>
          <w:szCs w:val="20"/>
        </w:rPr>
        <w:t>, secondo lo schema di cui all’ Allegato 1</w:t>
      </w:r>
      <w:r w:rsidR="00E005CB" w:rsidRPr="000D2576">
        <w:rPr>
          <w:rFonts w:asciiTheme="minorHAnsi" w:hAnsiTheme="minorHAnsi" w:cstheme="minorHAnsi"/>
          <w:szCs w:val="20"/>
        </w:rPr>
        <w:t>;</w:t>
      </w:r>
    </w:p>
    <w:p w:rsidR="000D2576" w:rsidRDefault="00DF4DA6" w:rsidP="000D2576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p</w:t>
      </w:r>
      <w:r w:rsidR="009008EF">
        <w:rPr>
          <w:rFonts w:asciiTheme="minorHAnsi" w:hAnsiTheme="minorHAnsi" w:cstheme="minorHAnsi"/>
          <w:szCs w:val="20"/>
        </w:rPr>
        <w:t>olizza fideiussoria</w:t>
      </w:r>
      <w:r w:rsidR="00E005CB" w:rsidRPr="000D2576">
        <w:rPr>
          <w:rFonts w:asciiTheme="minorHAnsi" w:hAnsiTheme="minorHAnsi" w:cstheme="minorHAnsi"/>
          <w:szCs w:val="20"/>
        </w:rPr>
        <w:t xml:space="preserve"> con Enti garanti ricon</w:t>
      </w:r>
      <w:r w:rsidR="000D2576">
        <w:rPr>
          <w:rFonts w:asciiTheme="minorHAnsi" w:hAnsiTheme="minorHAnsi" w:cstheme="minorHAnsi"/>
          <w:szCs w:val="20"/>
        </w:rPr>
        <w:t>osciuti da IVASS, secondo lo schema di cui</w:t>
      </w:r>
      <w:r w:rsidR="000D2576" w:rsidRPr="000D2576">
        <w:rPr>
          <w:rFonts w:asciiTheme="minorHAnsi" w:hAnsiTheme="minorHAnsi" w:cstheme="minorHAnsi"/>
          <w:szCs w:val="20"/>
        </w:rPr>
        <w:t xml:space="preserve"> </w:t>
      </w:r>
      <w:r w:rsidR="000D2576">
        <w:rPr>
          <w:rFonts w:asciiTheme="minorHAnsi" w:hAnsiTheme="minorHAnsi" w:cstheme="minorHAnsi"/>
          <w:szCs w:val="20"/>
        </w:rPr>
        <w:t>all’</w:t>
      </w:r>
      <w:r w:rsidR="000D2576" w:rsidRPr="000D2576">
        <w:rPr>
          <w:rFonts w:asciiTheme="minorHAnsi" w:hAnsiTheme="minorHAnsi" w:cstheme="minorHAnsi"/>
          <w:szCs w:val="20"/>
        </w:rPr>
        <w:t>Allegato 2</w:t>
      </w:r>
      <w:r w:rsidR="00E005CB" w:rsidRPr="000D2576">
        <w:rPr>
          <w:rFonts w:asciiTheme="minorHAnsi" w:hAnsiTheme="minorHAnsi" w:cstheme="minorHAnsi"/>
          <w:szCs w:val="20"/>
        </w:rPr>
        <w:t>;</w:t>
      </w:r>
    </w:p>
    <w:p w:rsidR="009955A9" w:rsidRPr="000D2576" w:rsidRDefault="00DF4DA6" w:rsidP="000D2576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9008EF">
        <w:rPr>
          <w:rFonts w:asciiTheme="minorHAnsi" w:hAnsiTheme="minorHAnsi" w:cstheme="minorHAnsi"/>
          <w:szCs w:val="20"/>
        </w:rPr>
        <w:t>olizza</w:t>
      </w:r>
      <w:r w:rsidR="00E005CB" w:rsidRPr="000D2576">
        <w:rPr>
          <w:rFonts w:asciiTheme="minorHAnsi" w:hAnsiTheme="minorHAnsi" w:cstheme="minorHAnsi"/>
          <w:szCs w:val="20"/>
        </w:rPr>
        <w:t xml:space="preserve"> con intermediari finanziari abilitati</w:t>
      </w:r>
      <w:r w:rsidR="000D2576">
        <w:rPr>
          <w:rFonts w:asciiTheme="minorHAnsi" w:hAnsiTheme="minorHAnsi" w:cstheme="minorHAnsi"/>
          <w:szCs w:val="20"/>
        </w:rPr>
        <w:t>,</w:t>
      </w:r>
      <w:r w:rsidR="00E005CB" w:rsidRPr="000D2576">
        <w:rPr>
          <w:rFonts w:asciiTheme="minorHAnsi" w:hAnsiTheme="minorHAnsi" w:cstheme="minorHAnsi"/>
          <w:szCs w:val="20"/>
        </w:rPr>
        <w:t xml:space="preserve"> </w:t>
      </w:r>
      <w:r w:rsidR="000D2576">
        <w:rPr>
          <w:rFonts w:asciiTheme="minorHAnsi" w:hAnsiTheme="minorHAnsi" w:cstheme="minorHAnsi"/>
          <w:szCs w:val="20"/>
        </w:rPr>
        <w:t>ai sensi dell’</w:t>
      </w:r>
      <w:r w:rsidR="00E005CB" w:rsidRPr="000D2576">
        <w:rPr>
          <w:rFonts w:asciiTheme="minorHAnsi" w:hAnsiTheme="minorHAnsi" w:cstheme="minorHAnsi"/>
          <w:szCs w:val="20"/>
        </w:rPr>
        <w:t>art. 106 del T</w:t>
      </w:r>
      <w:r w:rsidR="000D2576">
        <w:rPr>
          <w:rFonts w:asciiTheme="minorHAnsi" w:hAnsiTheme="minorHAnsi" w:cstheme="minorHAnsi"/>
          <w:szCs w:val="20"/>
        </w:rPr>
        <w:t>esto Unico Bancario</w:t>
      </w:r>
      <w:r w:rsidR="00E272C5">
        <w:rPr>
          <w:rFonts w:asciiTheme="minorHAnsi" w:hAnsiTheme="minorHAnsi" w:cstheme="minorHAnsi"/>
          <w:szCs w:val="20"/>
        </w:rPr>
        <w:t>,</w:t>
      </w:r>
      <w:r w:rsidR="000D2576">
        <w:rPr>
          <w:rFonts w:asciiTheme="minorHAnsi" w:hAnsiTheme="minorHAnsi" w:cstheme="minorHAnsi"/>
          <w:szCs w:val="20"/>
        </w:rPr>
        <w:t xml:space="preserve"> </w:t>
      </w:r>
      <w:r w:rsidR="00E005CB" w:rsidRPr="000D2576">
        <w:rPr>
          <w:rFonts w:asciiTheme="minorHAnsi" w:hAnsiTheme="minorHAnsi" w:cstheme="minorHAnsi"/>
          <w:szCs w:val="20"/>
        </w:rPr>
        <w:t>di cui all’elenco del</w:t>
      </w:r>
      <w:r w:rsidR="000D2576">
        <w:rPr>
          <w:rFonts w:asciiTheme="minorHAnsi" w:hAnsiTheme="minorHAnsi" w:cstheme="minorHAnsi"/>
          <w:szCs w:val="20"/>
        </w:rPr>
        <w:t>la Banca d’Italia, secondo lo schema di cui all’</w:t>
      </w:r>
      <w:r w:rsidR="000D2576" w:rsidRPr="000D2576">
        <w:rPr>
          <w:rFonts w:asciiTheme="minorHAnsi" w:hAnsiTheme="minorHAnsi" w:cstheme="minorHAnsi"/>
          <w:szCs w:val="20"/>
        </w:rPr>
        <w:t xml:space="preserve"> Allegato 3</w:t>
      </w:r>
      <w:r w:rsidR="00E005CB" w:rsidRPr="000D2576">
        <w:rPr>
          <w:rFonts w:asciiTheme="minorHAnsi" w:hAnsiTheme="minorHAnsi" w:cstheme="minorHAnsi"/>
          <w:szCs w:val="20"/>
        </w:rPr>
        <w:t>.</w:t>
      </w:r>
    </w:p>
    <w:p w:rsidR="00E005CB" w:rsidRPr="009955A9" w:rsidRDefault="00E005CB" w:rsidP="009955A9">
      <w:pPr>
        <w:pStyle w:val="Paragrafoelenco"/>
        <w:spacing w:after="120"/>
        <w:jc w:val="both"/>
        <w:rPr>
          <w:rFonts w:asciiTheme="minorHAnsi" w:hAnsiTheme="minorHAnsi" w:cstheme="minorHAnsi"/>
          <w:szCs w:val="20"/>
        </w:rPr>
      </w:pPr>
      <w:r w:rsidRPr="009955A9">
        <w:rPr>
          <w:rFonts w:asciiTheme="minorHAnsi" w:hAnsiTheme="minorHAnsi" w:cstheme="minorHAnsi"/>
          <w:b/>
          <w:szCs w:val="20"/>
        </w:rPr>
        <w:t xml:space="preserve"> </w:t>
      </w:r>
    </w:p>
    <w:p w:rsidR="00E005CB" w:rsidRPr="008542EC" w:rsidRDefault="00115201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Art. 3 - </w:t>
      </w:r>
      <w:r w:rsidR="00E005CB" w:rsidRPr="008542EC">
        <w:rPr>
          <w:rFonts w:asciiTheme="minorHAnsi" w:hAnsiTheme="minorHAnsi" w:cstheme="minorHAnsi"/>
          <w:b/>
          <w:szCs w:val="20"/>
        </w:rPr>
        <w:t>Cauzione costituita con bonifico bancario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szCs w:val="20"/>
        </w:rPr>
      </w:pPr>
    </w:p>
    <w:p w:rsidR="0036469E" w:rsidRDefault="00E005CB" w:rsidP="0036469E">
      <w:pPr>
        <w:pStyle w:val="Paragrafoelenco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36469E">
        <w:rPr>
          <w:rFonts w:asciiTheme="minorHAnsi" w:hAnsiTheme="minorHAnsi" w:cstheme="minorHAnsi"/>
          <w:szCs w:val="20"/>
        </w:rPr>
        <w:t>Il versamento della cauzione può avvenire tramite bonifico</w:t>
      </w:r>
      <w:r w:rsidRPr="0036469E">
        <w:rPr>
          <w:rFonts w:asciiTheme="minorHAnsi" w:hAnsiTheme="minorHAnsi" w:cstheme="minorHAnsi"/>
          <w:b/>
          <w:szCs w:val="20"/>
        </w:rPr>
        <w:t xml:space="preserve"> </w:t>
      </w:r>
      <w:r w:rsidR="00353DCA">
        <w:rPr>
          <w:rFonts w:asciiTheme="minorHAnsi" w:hAnsiTheme="minorHAnsi" w:cstheme="minorHAnsi"/>
          <w:szCs w:val="20"/>
        </w:rPr>
        <w:t xml:space="preserve">bancario, </w:t>
      </w:r>
      <w:r w:rsidRPr="0036469E">
        <w:rPr>
          <w:rFonts w:asciiTheme="minorHAnsi" w:hAnsiTheme="minorHAnsi" w:cstheme="minorHAnsi"/>
          <w:szCs w:val="20"/>
        </w:rPr>
        <w:t>effettuato a favore dell’Amministrazione</w:t>
      </w:r>
      <w:r w:rsidRPr="0036469E">
        <w:rPr>
          <w:rFonts w:asciiTheme="minorHAnsi" w:hAnsiTheme="minorHAnsi" w:cstheme="minorHAnsi"/>
          <w:b/>
          <w:szCs w:val="20"/>
        </w:rPr>
        <w:t xml:space="preserve"> </w:t>
      </w:r>
      <w:r w:rsidR="00E272C5" w:rsidRPr="0036469E">
        <w:rPr>
          <w:rFonts w:asciiTheme="minorHAnsi" w:hAnsiTheme="minorHAnsi" w:cstheme="minorHAnsi"/>
          <w:szCs w:val="20"/>
        </w:rPr>
        <w:t>r</w:t>
      </w:r>
      <w:r w:rsidRPr="0036469E">
        <w:rPr>
          <w:rFonts w:asciiTheme="minorHAnsi" w:hAnsiTheme="minorHAnsi" w:cstheme="minorHAnsi"/>
          <w:szCs w:val="20"/>
        </w:rPr>
        <w:t>egionale</w:t>
      </w:r>
      <w:r w:rsidR="00E272C5" w:rsidRPr="0036469E">
        <w:rPr>
          <w:rFonts w:asciiTheme="minorHAnsi" w:hAnsiTheme="minorHAnsi" w:cstheme="minorHAnsi"/>
          <w:szCs w:val="20"/>
        </w:rPr>
        <w:t>,</w:t>
      </w:r>
      <w:r w:rsidRPr="0036469E">
        <w:rPr>
          <w:rFonts w:asciiTheme="minorHAnsi" w:hAnsiTheme="minorHAnsi" w:cstheme="minorHAnsi"/>
          <w:szCs w:val="20"/>
        </w:rPr>
        <w:t xml:space="preserve"> con e</w:t>
      </w:r>
      <w:r w:rsidR="00E272C5" w:rsidRPr="0036469E">
        <w:rPr>
          <w:rFonts w:asciiTheme="minorHAnsi" w:hAnsiTheme="minorHAnsi" w:cstheme="minorHAnsi"/>
          <w:szCs w:val="20"/>
        </w:rPr>
        <w:t xml:space="preserve">spressa indicazione della ditta/società </w:t>
      </w:r>
      <w:r w:rsidRPr="0036469E">
        <w:rPr>
          <w:rFonts w:asciiTheme="minorHAnsi" w:hAnsiTheme="minorHAnsi" w:cstheme="minorHAnsi"/>
          <w:szCs w:val="20"/>
        </w:rPr>
        <w:t>depositante, della</w:t>
      </w:r>
      <w:r w:rsidR="0036469E">
        <w:rPr>
          <w:rFonts w:asciiTheme="minorHAnsi" w:hAnsiTheme="minorHAnsi" w:cstheme="minorHAnsi"/>
          <w:szCs w:val="20"/>
        </w:rPr>
        <w:t xml:space="preserve"> causale e del tipo di deposito</w:t>
      </w:r>
      <w:r w:rsidR="00353DCA">
        <w:rPr>
          <w:rFonts w:asciiTheme="minorHAnsi" w:hAnsiTheme="minorHAnsi" w:cstheme="minorHAnsi"/>
          <w:szCs w:val="20"/>
        </w:rPr>
        <w:t>.</w:t>
      </w:r>
    </w:p>
    <w:p w:rsidR="00E005CB" w:rsidRDefault="00115201" w:rsidP="00115201">
      <w:pPr>
        <w:pStyle w:val="Paragrafoelenco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L’importo versato non è produttivo di interessi ed è restituito allo svincolo della cauzione.</w:t>
      </w:r>
    </w:p>
    <w:p w:rsidR="00602D26" w:rsidRPr="00602D26" w:rsidRDefault="00602D26" w:rsidP="00602D26">
      <w:pPr>
        <w:pStyle w:val="Paragrafoelenco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appli</w:t>
      </w:r>
      <w:r w:rsidR="00C709B7">
        <w:rPr>
          <w:rFonts w:asciiTheme="minorHAnsi" w:hAnsiTheme="minorHAnsi" w:cstheme="minorHAnsi"/>
          <w:szCs w:val="20"/>
        </w:rPr>
        <w:t>cano le disposizioni di cui al precedente articolo</w:t>
      </w:r>
      <w:r>
        <w:rPr>
          <w:rFonts w:asciiTheme="minorHAnsi" w:hAnsiTheme="minorHAnsi" w:cstheme="minorHAnsi"/>
          <w:szCs w:val="20"/>
        </w:rPr>
        <w:t xml:space="preserve"> 1, commi 7, 8, 9 e 10.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</w:rPr>
      </w:pPr>
    </w:p>
    <w:p w:rsidR="00E005CB" w:rsidRPr="008542EC" w:rsidRDefault="00E005CB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bCs/>
          <w:szCs w:val="20"/>
        </w:rPr>
      </w:pPr>
    </w:p>
    <w:p w:rsidR="00E005CB" w:rsidRPr="008542EC" w:rsidRDefault="00115201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Art. 4 - </w:t>
      </w:r>
      <w:r w:rsidR="00E005CB" w:rsidRPr="008542EC">
        <w:rPr>
          <w:rFonts w:asciiTheme="minorHAnsi" w:hAnsiTheme="minorHAnsi" w:cstheme="minorHAnsi"/>
          <w:b/>
          <w:bCs/>
          <w:szCs w:val="20"/>
        </w:rPr>
        <w:t>Cauzione costituita da fideiussione bancaria</w:t>
      </w:r>
    </w:p>
    <w:p w:rsidR="00E005CB" w:rsidRPr="008542EC" w:rsidRDefault="00E005CB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bCs/>
          <w:szCs w:val="20"/>
        </w:rPr>
      </w:pPr>
    </w:p>
    <w:p w:rsidR="000A2600" w:rsidRDefault="00C709B7" w:rsidP="000A2600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fideiussione bancaria</w:t>
      </w:r>
      <w:r w:rsidR="00115201">
        <w:rPr>
          <w:rFonts w:asciiTheme="minorHAnsi" w:hAnsiTheme="minorHAnsi" w:cstheme="minorHAnsi"/>
          <w:szCs w:val="20"/>
        </w:rPr>
        <w:t xml:space="preserve"> è costituita</w:t>
      </w:r>
      <w:r w:rsidR="00E005CB" w:rsidRPr="008542EC">
        <w:rPr>
          <w:rFonts w:asciiTheme="minorHAnsi" w:hAnsiTheme="minorHAnsi" w:cstheme="minorHAnsi"/>
          <w:szCs w:val="20"/>
        </w:rPr>
        <w:t xml:space="preserve"> secondo </w:t>
      </w:r>
      <w:r w:rsidR="00171DA9">
        <w:rPr>
          <w:rFonts w:asciiTheme="minorHAnsi" w:hAnsiTheme="minorHAnsi" w:cstheme="minorHAnsi"/>
          <w:szCs w:val="20"/>
        </w:rPr>
        <w:t>lo schema di cui all’ Allegato 1; il relativo contratto deve contenere tutte le clausole ivi riportate</w:t>
      </w:r>
      <w:r w:rsidR="00E005CB" w:rsidRPr="008542EC">
        <w:rPr>
          <w:rFonts w:asciiTheme="minorHAnsi" w:hAnsiTheme="minorHAnsi" w:cstheme="minorHAnsi"/>
          <w:szCs w:val="20"/>
        </w:rPr>
        <w:t>.</w:t>
      </w:r>
    </w:p>
    <w:p w:rsidR="00115201" w:rsidRDefault="00115201" w:rsidP="00115201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appli</w:t>
      </w:r>
      <w:r w:rsidR="00C709B7">
        <w:rPr>
          <w:rFonts w:asciiTheme="minorHAnsi" w:hAnsiTheme="minorHAnsi" w:cstheme="minorHAnsi"/>
          <w:szCs w:val="20"/>
        </w:rPr>
        <w:t>cano le disposizioni di cui al precedente articolo</w:t>
      </w:r>
      <w:r>
        <w:rPr>
          <w:rFonts w:asciiTheme="minorHAnsi" w:hAnsiTheme="minorHAnsi" w:cstheme="minorHAnsi"/>
          <w:szCs w:val="20"/>
        </w:rPr>
        <w:t xml:space="preserve"> 1, commi 7, 8, 9 e 10.</w:t>
      </w:r>
    </w:p>
    <w:p w:rsidR="00E005CB" w:rsidRPr="00115201" w:rsidRDefault="00E005CB" w:rsidP="00115201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115201">
        <w:rPr>
          <w:rFonts w:asciiTheme="minorHAnsi" w:hAnsiTheme="minorHAnsi" w:cstheme="minorHAnsi"/>
          <w:szCs w:val="20"/>
        </w:rPr>
        <w:t>Non sono ammesse clausole che limitino la durata della garanzia.</w:t>
      </w:r>
      <w:r w:rsidR="000A2600" w:rsidRPr="00115201">
        <w:rPr>
          <w:rFonts w:asciiTheme="minorHAnsi" w:hAnsiTheme="minorHAnsi" w:cstheme="minorHAnsi"/>
          <w:szCs w:val="20"/>
        </w:rPr>
        <w:t xml:space="preserve"> </w:t>
      </w:r>
    </w:p>
    <w:p w:rsidR="00115201" w:rsidRPr="00115201" w:rsidRDefault="00115201" w:rsidP="00115201">
      <w:pPr>
        <w:spacing w:after="120"/>
        <w:jc w:val="both"/>
        <w:rPr>
          <w:rFonts w:asciiTheme="minorHAnsi" w:hAnsiTheme="minorHAnsi" w:cstheme="minorHAnsi"/>
          <w:szCs w:val="20"/>
        </w:rPr>
      </w:pPr>
    </w:p>
    <w:p w:rsidR="00E005CB" w:rsidRPr="008542EC" w:rsidRDefault="00115201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Art. 5 - </w:t>
      </w:r>
      <w:r w:rsidR="00E005CB" w:rsidRPr="008542EC">
        <w:rPr>
          <w:rFonts w:asciiTheme="minorHAnsi" w:hAnsiTheme="minorHAnsi" w:cstheme="minorHAnsi"/>
          <w:b/>
          <w:bCs/>
          <w:szCs w:val="20"/>
        </w:rPr>
        <w:t xml:space="preserve">Cauzione costituita da polizza fideiussoria </w:t>
      </w:r>
      <w:r w:rsidR="00A75246">
        <w:rPr>
          <w:rFonts w:asciiTheme="minorHAnsi" w:hAnsiTheme="minorHAnsi" w:cstheme="minorHAnsi"/>
          <w:b/>
          <w:bCs/>
          <w:szCs w:val="20"/>
        </w:rPr>
        <w:t xml:space="preserve">emessa </w:t>
      </w:r>
      <w:r w:rsidR="00E005CB" w:rsidRPr="008542EC">
        <w:rPr>
          <w:rFonts w:asciiTheme="minorHAnsi" w:hAnsiTheme="minorHAnsi" w:cstheme="minorHAnsi"/>
          <w:b/>
          <w:bCs/>
          <w:szCs w:val="20"/>
        </w:rPr>
        <w:t>da Enti garanti riconosciuti da IVASS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bCs/>
          <w:szCs w:val="20"/>
        </w:rPr>
      </w:pPr>
    </w:p>
    <w:p w:rsidR="000A2600" w:rsidRPr="00171DA9" w:rsidRDefault="00861442" w:rsidP="00171DA9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171DA9">
        <w:rPr>
          <w:rFonts w:asciiTheme="minorHAnsi" w:hAnsiTheme="minorHAnsi" w:cstheme="minorHAnsi"/>
          <w:szCs w:val="20"/>
        </w:rPr>
        <w:t>La fideiussione</w:t>
      </w:r>
      <w:r w:rsidR="00E005CB" w:rsidRPr="00171DA9">
        <w:rPr>
          <w:rFonts w:asciiTheme="minorHAnsi" w:hAnsiTheme="minorHAnsi" w:cstheme="minorHAnsi"/>
          <w:szCs w:val="20"/>
        </w:rPr>
        <w:t xml:space="preserve"> </w:t>
      </w:r>
      <w:r w:rsidRPr="00171DA9">
        <w:rPr>
          <w:rFonts w:asciiTheme="minorHAnsi" w:hAnsiTheme="minorHAnsi" w:cstheme="minorHAnsi"/>
          <w:szCs w:val="20"/>
        </w:rPr>
        <w:t>emessa</w:t>
      </w:r>
      <w:r w:rsidR="0075497B" w:rsidRPr="00171DA9">
        <w:rPr>
          <w:rFonts w:asciiTheme="minorHAnsi" w:hAnsiTheme="minorHAnsi" w:cstheme="minorHAnsi"/>
          <w:szCs w:val="20"/>
        </w:rPr>
        <w:t xml:space="preserve"> </w:t>
      </w:r>
      <w:r w:rsidR="00E005CB" w:rsidRPr="00171DA9">
        <w:rPr>
          <w:rFonts w:asciiTheme="minorHAnsi" w:hAnsiTheme="minorHAnsi" w:cstheme="minorHAnsi"/>
          <w:szCs w:val="20"/>
        </w:rPr>
        <w:t>da Enti ga</w:t>
      </w:r>
      <w:r w:rsidRPr="00171DA9">
        <w:rPr>
          <w:rFonts w:asciiTheme="minorHAnsi" w:hAnsiTheme="minorHAnsi" w:cstheme="minorHAnsi"/>
          <w:szCs w:val="20"/>
        </w:rPr>
        <w:t>ranti riconosciuti da IVASS è costituita</w:t>
      </w:r>
      <w:r w:rsidR="00E005CB" w:rsidRPr="00171DA9">
        <w:rPr>
          <w:rFonts w:asciiTheme="minorHAnsi" w:hAnsiTheme="minorHAnsi" w:cstheme="minorHAnsi"/>
          <w:szCs w:val="20"/>
        </w:rPr>
        <w:t xml:space="preserve"> secondo </w:t>
      </w:r>
      <w:r w:rsidR="0075497B" w:rsidRPr="00171DA9">
        <w:rPr>
          <w:rFonts w:asciiTheme="minorHAnsi" w:hAnsiTheme="minorHAnsi" w:cstheme="minorHAnsi"/>
          <w:szCs w:val="20"/>
        </w:rPr>
        <w:t>lo schema di cui all’Allegato 2</w:t>
      </w:r>
      <w:r w:rsidR="00171DA9" w:rsidRPr="00171DA9">
        <w:rPr>
          <w:rFonts w:asciiTheme="minorHAnsi" w:hAnsiTheme="minorHAnsi" w:cstheme="minorHAnsi"/>
          <w:szCs w:val="20"/>
        </w:rPr>
        <w:t xml:space="preserve">; </w:t>
      </w:r>
      <w:r w:rsidR="00171DA9" w:rsidRPr="00171DA9">
        <w:rPr>
          <w:rFonts w:asciiTheme="minorHAnsi" w:hAnsiTheme="minorHAnsi" w:cstheme="minorHAnsi"/>
          <w:szCs w:val="20"/>
        </w:rPr>
        <w:t>il relativo contratto deve contenere tutte le clausole ivi riportate.</w:t>
      </w:r>
    </w:p>
    <w:p w:rsidR="00E005CB" w:rsidRDefault="00861442" w:rsidP="000A2600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fideiussione</w:t>
      </w:r>
      <w:r w:rsidR="00E005CB" w:rsidRPr="000A2600">
        <w:rPr>
          <w:rFonts w:asciiTheme="minorHAnsi" w:hAnsiTheme="minorHAnsi" w:cstheme="minorHAnsi"/>
          <w:szCs w:val="20"/>
        </w:rPr>
        <w:t xml:space="preserve"> deve essere rilasc</w:t>
      </w:r>
      <w:r>
        <w:rPr>
          <w:rFonts w:asciiTheme="minorHAnsi" w:hAnsiTheme="minorHAnsi" w:cstheme="minorHAnsi"/>
          <w:szCs w:val="20"/>
        </w:rPr>
        <w:t>iata da impresa di assicurazione</w:t>
      </w:r>
      <w:r w:rsidR="00E005CB" w:rsidRPr="000A2600">
        <w:rPr>
          <w:rFonts w:asciiTheme="minorHAnsi" w:hAnsiTheme="minorHAnsi" w:cstheme="minorHAnsi"/>
          <w:szCs w:val="20"/>
        </w:rPr>
        <w:t xml:space="preserve"> debitamente autorizzata all'esercizio del ramo cauzioni dall'I</w:t>
      </w:r>
      <w:r w:rsidR="00F63FB5" w:rsidRPr="000A2600">
        <w:rPr>
          <w:rFonts w:asciiTheme="minorHAnsi" w:hAnsiTheme="minorHAnsi" w:cstheme="minorHAnsi"/>
          <w:szCs w:val="20"/>
        </w:rPr>
        <w:t>VASS ed iscritta</w:t>
      </w:r>
      <w:r w:rsidR="00E005CB" w:rsidRPr="000A2600">
        <w:rPr>
          <w:rFonts w:asciiTheme="minorHAnsi" w:hAnsiTheme="minorHAnsi" w:cstheme="minorHAnsi"/>
          <w:szCs w:val="20"/>
        </w:rPr>
        <w:t xml:space="preserve"> nel relativo elenco pubblicato periodic</w:t>
      </w:r>
      <w:r w:rsidR="00F63FB5" w:rsidRPr="000A2600">
        <w:rPr>
          <w:rFonts w:asciiTheme="minorHAnsi" w:hAnsiTheme="minorHAnsi" w:cstheme="minorHAnsi"/>
          <w:szCs w:val="20"/>
        </w:rPr>
        <w:t>amente sulla G</w:t>
      </w:r>
      <w:r w:rsidR="000A2600">
        <w:rPr>
          <w:rFonts w:asciiTheme="minorHAnsi" w:hAnsiTheme="minorHAnsi" w:cstheme="minorHAnsi"/>
          <w:szCs w:val="20"/>
        </w:rPr>
        <w:t>azzetta Ufficiale</w:t>
      </w:r>
      <w:r w:rsidR="00082F14">
        <w:rPr>
          <w:rFonts w:asciiTheme="minorHAnsi" w:hAnsiTheme="minorHAnsi" w:cstheme="minorHAnsi"/>
          <w:szCs w:val="20"/>
        </w:rPr>
        <w:t xml:space="preserve"> Repubblica Italiana</w:t>
      </w:r>
      <w:r w:rsidR="000A2600">
        <w:rPr>
          <w:rFonts w:asciiTheme="minorHAnsi" w:hAnsiTheme="minorHAnsi" w:cstheme="minorHAnsi"/>
          <w:szCs w:val="20"/>
        </w:rPr>
        <w:t>.</w:t>
      </w:r>
    </w:p>
    <w:p w:rsidR="00071E34" w:rsidRDefault="00115201" w:rsidP="00071E34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Si applicano le </w:t>
      </w:r>
      <w:r w:rsidR="006D4C07">
        <w:rPr>
          <w:rFonts w:asciiTheme="minorHAnsi" w:hAnsiTheme="minorHAnsi" w:cstheme="minorHAnsi"/>
          <w:szCs w:val="20"/>
        </w:rPr>
        <w:t>disposizioni di cui al precedente articolo</w:t>
      </w:r>
      <w:r>
        <w:rPr>
          <w:rFonts w:asciiTheme="minorHAnsi" w:hAnsiTheme="minorHAnsi" w:cstheme="minorHAnsi"/>
          <w:szCs w:val="20"/>
        </w:rPr>
        <w:t xml:space="preserve"> 1, commi 7, 8, 9 e 10.</w:t>
      </w:r>
    </w:p>
    <w:p w:rsidR="00E005CB" w:rsidRPr="00071E34" w:rsidRDefault="000A2600" w:rsidP="00071E34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071E34">
        <w:rPr>
          <w:rFonts w:asciiTheme="minorHAnsi" w:hAnsiTheme="minorHAnsi" w:cstheme="minorHAnsi"/>
          <w:szCs w:val="20"/>
        </w:rPr>
        <w:t>Non sono ammesse clausole che limitino la durata della garanzia</w:t>
      </w:r>
      <w:r w:rsidR="00861442" w:rsidRPr="00071E34">
        <w:rPr>
          <w:rFonts w:asciiTheme="minorHAnsi" w:hAnsiTheme="minorHAnsi" w:cstheme="minorHAnsi"/>
          <w:szCs w:val="20"/>
        </w:rPr>
        <w:t xml:space="preserve">. </w:t>
      </w:r>
    </w:p>
    <w:p w:rsidR="00861442" w:rsidRPr="00861442" w:rsidRDefault="00861442" w:rsidP="00861442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szCs w:val="20"/>
        </w:rPr>
      </w:pPr>
    </w:p>
    <w:p w:rsidR="00E005CB" w:rsidRPr="008542EC" w:rsidRDefault="00861442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Art. 6 - </w:t>
      </w:r>
      <w:r w:rsidR="00E005CB" w:rsidRPr="008542EC">
        <w:rPr>
          <w:rFonts w:asciiTheme="minorHAnsi" w:hAnsiTheme="minorHAnsi" w:cstheme="minorHAnsi"/>
          <w:b/>
          <w:szCs w:val="20"/>
        </w:rPr>
        <w:t>Cauz</w:t>
      </w:r>
      <w:r w:rsidR="00071E34">
        <w:rPr>
          <w:rFonts w:asciiTheme="minorHAnsi" w:hAnsiTheme="minorHAnsi" w:cstheme="minorHAnsi"/>
          <w:b/>
          <w:szCs w:val="20"/>
        </w:rPr>
        <w:t>ione costituita mediante polizza</w:t>
      </w:r>
      <w:r w:rsidR="00E005CB" w:rsidRPr="008542EC">
        <w:rPr>
          <w:rFonts w:asciiTheme="minorHAnsi" w:hAnsiTheme="minorHAnsi" w:cstheme="minorHAnsi"/>
          <w:b/>
          <w:szCs w:val="20"/>
        </w:rPr>
        <w:t xml:space="preserve"> con intermediari finanziari abilitati </w:t>
      </w:r>
      <w:r w:rsidR="008D251F">
        <w:rPr>
          <w:rFonts w:asciiTheme="minorHAnsi" w:hAnsiTheme="minorHAnsi" w:cstheme="minorHAnsi"/>
          <w:b/>
          <w:szCs w:val="20"/>
        </w:rPr>
        <w:t>ai sensi dell’</w:t>
      </w:r>
      <w:r w:rsidR="00E005CB" w:rsidRPr="008542EC">
        <w:rPr>
          <w:rFonts w:asciiTheme="minorHAnsi" w:hAnsiTheme="minorHAnsi" w:cstheme="minorHAnsi"/>
          <w:b/>
          <w:szCs w:val="20"/>
        </w:rPr>
        <w:t>art. 106 del T</w:t>
      </w:r>
      <w:r>
        <w:rPr>
          <w:rFonts w:asciiTheme="minorHAnsi" w:hAnsiTheme="minorHAnsi" w:cstheme="minorHAnsi"/>
          <w:b/>
          <w:szCs w:val="20"/>
        </w:rPr>
        <w:t>.</w:t>
      </w:r>
      <w:r w:rsidR="00E005CB" w:rsidRPr="008542EC">
        <w:rPr>
          <w:rFonts w:asciiTheme="minorHAnsi" w:hAnsiTheme="minorHAnsi" w:cstheme="minorHAnsi"/>
          <w:b/>
          <w:szCs w:val="20"/>
        </w:rPr>
        <w:t>U</w:t>
      </w:r>
      <w:r>
        <w:rPr>
          <w:rFonts w:asciiTheme="minorHAnsi" w:hAnsiTheme="minorHAnsi" w:cstheme="minorHAnsi"/>
          <w:b/>
          <w:szCs w:val="20"/>
        </w:rPr>
        <w:t>.</w:t>
      </w:r>
      <w:r w:rsidR="00E005CB" w:rsidRPr="008542EC">
        <w:rPr>
          <w:rFonts w:asciiTheme="minorHAnsi" w:hAnsiTheme="minorHAnsi" w:cstheme="minorHAnsi"/>
          <w:b/>
          <w:szCs w:val="20"/>
        </w:rPr>
        <w:t>B</w:t>
      </w:r>
      <w:r>
        <w:rPr>
          <w:rFonts w:asciiTheme="minorHAnsi" w:hAnsiTheme="minorHAnsi" w:cstheme="minorHAnsi"/>
          <w:b/>
          <w:szCs w:val="20"/>
        </w:rPr>
        <w:t>.</w:t>
      </w:r>
      <w:r w:rsidR="00E005CB" w:rsidRPr="008542EC">
        <w:rPr>
          <w:rFonts w:asciiTheme="minorHAnsi" w:hAnsiTheme="minorHAnsi" w:cstheme="minorHAnsi"/>
          <w:b/>
          <w:szCs w:val="20"/>
        </w:rPr>
        <w:t xml:space="preserve"> di cui all’elenco della Banca d’Italia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szCs w:val="20"/>
        </w:rPr>
      </w:pPr>
    </w:p>
    <w:p w:rsidR="00132CB7" w:rsidRPr="00171DA9" w:rsidRDefault="00861442" w:rsidP="00171DA9">
      <w:pPr>
        <w:pStyle w:val="Paragrafoelenco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171DA9">
        <w:rPr>
          <w:rFonts w:asciiTheme="minorHAnsi" w:hAnsiTheme="minorHAnsi" w:cstheme="minorHAnsi"/>
          <w:szCs w:val="20"/>
        </w:rPr>
        <w:t>La fideiussione costituita</w:t>
      </w:r>
      <w:r w:rsidR="00E005CB" w:rsidRPr="00171DA9">
        <w:rPr>
          <w:rFonts w:asciiTheme="minorHAnsi" w:hAnsiTheme="minorHAnsi" w:cstheme="minorHAnsi"/>
          <w:szCs w:val="20"/>
        </w:rPr>
        <w:t xml:space="preserve"> con intermediari finanziari abilitati (ex art. 106 del T</w:t>
      </w:r>
      <w:r w:rsidR="00082F14" w:rsidRPr="00171DA9">
        <w:rPr>
          <w:rFonts w:asciiTheme="minorHAnsi" w:hAnsiTheme="minorHAnsi" w:cstheme="minorHAnsi"/>
          <w:szCs w:val="20"/>
        </w:rPr>
        <w:t>.</w:t>
      </w:r>
      <w:r w:rsidR="00E005CB" w:rsidRPr="00171DA9">
        <w:rPr>
          <w:rFonts w:asciiTheme="minorHAnsi" w:hAnsiTheme="minorHAnsi" w:cstheme="minorHAnsi"/>
          <w:szCs w:val="20"/>
        </w:rPr>
        <w:t>U</w:t>
      </w:r>
      <w:r w:rsidR="00082F14" w:rsidRPr="00171DA9">
        <w:rPr>
          <w:rFonts w:asciiTheme="minorHAnsi" w:hAnsiTheme="minorHAnsi" w:cstheme="minorHAnsi"/>
          <w:szCs w:val="20"/>
        </w:rPr>
        <w:t>.</w:t>
      </w:r>
      <w:r w:rsidR="00E005CB" w:rsidRPr="00171DA9">
        <w:rPr>
          <w:rFonts w:asciiTheme="minorHAnsi" w:hAnsiTheme="minorHAnsi" w:cstheme="minorHAnsi"/>
          <w:szCs w:val="20"/>
        </w:rPr>
        <w:t>B</w:t>
      </w:r>
      <w:r w:rsidR="00082F14" w:rsidRPr="00171DA9">
        <w:rPr>
          <w:rFonts w:asciiTheme="minorHAnsi" w:hAnsiTheme="minorHAnsi" w:cstheme="minorHAnsi"/>
          <w:szCs w:val="20"/>
        </w:rPr>
        <w:t>.</w:t>
      </w:r>
      <w:r w:rsidR="00E005CB" w:rsidRPr="00171DA9">
        <w:rPr>
          <w:rFonts w:asciiTheme="minorHAnsi" w:hAnsiTheme="minorHAnsi" w:cstheme="minorHAnsi"/>
          <w:szCs w:val="20"/>
        </w:rPr>
        <w:t xml:space="preserve"> di cui all’elenco della Banca d’I</w:t>
      </w:r>
      <w:r w:rsidRPr="00171DA9">
        <w:rPr>
          <w:rFonts w:asciiTheme="minorHAnsi" w:hAnsiTheme="minorHAnsi" w:cstheme="minorHAnsi"/>
          <w:szCs w:val="20"/>
        </w:rPr>
        <w:t>talia) è stipulata secondo lo schema</w:t>
      </w:r>
      <w:r w:rsidR="008D251F" w:rsidRPr="00171DA9">
        <w:rPr>
          <w:rFonts w:asciiTheme="minorHAnsi" w:hAnsiTheme="minorHAnsi" w:cstheme="minorHAnsi"/>
          <w:szCs w:val="20"/>
        </w:rPr>
        <w:t xml:space="preserve"> di cui all’Allegato 3</w:t>
      </w:r>
      <w:r w:rsidR="00171DA9" w:rsidRPr="00171DA9">
        <w:rPr>
          <w:rFonts w:asciiTheme="minorHAnsi" w:hAnsiTheme="minorHAnsi" w:cstheme="minorHAnsi"/>
          <w:szCs w:val="20"/>
        </w:rPr>
        <w:t xml:space="preserve">; </w:t>
      </w:r>
      <w:r w:rsidR="00171DA9" w:rsidRPr="00171DA9">
        <w:rPr>
          <w:rFonts w:asciiTheme="minorHAnsi" w:hAnsiTheme="minorHAnsi" w:cstheme="minorHAnsi"/>
          <w:szCs w:val="20"/>
        </w:rPr>
        <w:t>il relativo contratto deve contenere tutte le clausole ivi riportate.</w:t>
      </w:r>
    </w:p>
    <w:p w:rsidR="00E005CB" w:rsidRDefault="00071E34" w:rsidP="00132CB7">
      <w:pPr>
        <w:pStyle w:val="Paragrafoelenco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fideiussione</w:t>
      </w:r>
      <w:r w:rsidR="00E005CB" w:rsidRPr="00132CB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è</w:t>
      </w:r>
      <w:r w:rsidR="00E005CB" w:rsidRPr="00132CB7">
        <w:rPr>
          <w:rFonts w:asciiTheme="minorHAnsi" w:hAnsiTheme="minorHAnsi" w:cstheme="minorHAnsi"/>
          <w:szCs w:val="20"/>
        </w:rPr>
        <w:t xml:space="preserve"> rilasciata </w:t>
      </w:r>
      <w:r w:rsidR="00132CB7" w:rsidRPr="00132CB7">
        <w:rPr>
          <w:rFonts w:asciiTheme="minorHAnsi" w:hAnsiTheme="minorHAnsi" w:cstheme="minorHAnsi"/>
          <w:szCs w:val="20"/>
        </w:rPr>
        <w:t xml:space="preserve">da </w:t>
      </w:r>
      <w:r w:rsidR="00E005CB" w:rsidRPr="00132CB7">
        <w:rPr>
          <w:rFonts w:asciiTheme="minorHAnsi" w:hAnsiTheme="minorHAnsi" w:cstheme="minorHAnsi"/>
          <w:szCs w:val="20"/>
        </w:rPr>
        <w:t xml:space="preserve">intermediari finanziari abilitati </w:t>
      </w:r>
      <w:r>
        <w:rPr>
          <w:rFonts w:asciiTheme="minorHAnsi" w:hAnsiTheme="minorHAnsi" w:cstheme="minorHAnsi"/>
          <w:szCs w:val="20"/>
        </w:rPr>
        <w:t>ai sensi dell’</w:t>
      </w:r>
      <w:r w:rsidR="00E005CB" w:rsidRPr="00132CB7">
        <w:rPr>
          <w:rFonts w:asciiTheme="minorHAnsi" w:hAnsiTheme="minorHAnsi" w:cstheme="minorHAnsi"/>
          <w:szCs w:val="20"/>
        </w:rPr>
        <w:t xml:space="preserve">art. 106 del TUB di cui </w:t>
      </w:r>
      <w:r w:rsidR="00132CB7">
        <w:rPr>
          <w:rFonts w:asciiTheme="minorHAnsi" w:hAnsiTheme="minorHAnsi" w:cstheme="minorHAnsi"/>
          <w:szCs w:val="20"/>
        </w:rPr>
        <w:t>all’elenco della Banca d’Italia.</w:t>
      </w:r>
    </w:p>
    <w:p w:rsidR="00071E34" w:rsidRDefault="00071E34" w:rsidP="00071E34">
      <w:pPr>
        <w:pStyle w:val="Paragrafoelenco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applicano</w:t>
      </w:r>
      <w:r w:rsidR="00082F14">
        <w:rPr>
          <w:rFonts w:asciiTheme="minorHAnsi" w:hAnsiTheme="minorHAnsi" w:cstheme="minorHAnsi"/>
          <w:szCs w:val="20"/>
        </w:rPr>
        <w:t xml:space="preserve"> le disposizioni di cui al precedente articolo</w:t>
      </w:r>
      <w:r>
        <w:rPr>
          <w:rFonts w:asciiTheme="minorHAnsi" w:hAnsiTheme="minorHAnsi" w:cstheme="minorHAnsi"/>
          <w:szCs w:val="20"/>
        </w:rPr>
        <w:t xml:space="preserve"> 1, commi 7, 8, 9 e 10.</w:t>
      </w:r>
    </w:p>
    <w:p w:rsidR="009955A9" w:rsidRPr="00071E34" w:rsidRDefault="00132CB7" w:rsidP="00071E34">
      <w:pPr>
        <w:pStyle w:val="Paragrafoelenco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071E34">
        <w:rPr>
          <w:rFonts w:asciiTheme="minorHAnsi" w:hAnsiTheme="minorHAnsi" w:cstheme="minorHAnsi"/>
          <w:szCs w:val="20"/>
        </w:rPr>
        <w:t>Non sono ammesse clausole che limitino la durata della garanzia</w:t>
      </w:r>
      <w:r w:rsidR="00071E34" w:rsidRPr="00071E34">
        <w:rPr>
          <w:rFonts w:asciiTheme="minorHAnsi" w:hAnsiTheme="minorHAnsi" w:cstheme="minorHAnsi"/>
          <w:szCs w:val="20"/>
        </w:rPr>
        <w:t>.</w:t>
      </w:r>
    </w:p>
    <w:p w:rsidR="00082F14" w:rsidRPr="00702B5C" w:rsidRDefault="00082F14" w:rsidP="00702B5C">
      <w:pPr>
        <w:spacing w:after="120"/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</w:p>
    <w:p w:rsidR="00963CE7" w:rsidRDefault="00963CE7" w:rsidP="00372F15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</w:p>
    <w:p w:rsidR="00E005CB" w:rsidRDefault="003154C2" w:rsidP="00372F15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Art. 7- </w:t>
      </w:r>
      <w:r w:rsidR="00E005CB" w:rsidRPr="00372F15">
        <w:rPr>
          <w:rFonts w:asciiTheme="minorHAnsi" w:hAnsiTheme="minorHAnsi" w:cstheme="minorHAnsi"/>
          <w:b/>
          <w:szCs w:val="20"/>
        </w:rPr>
        <w:t xml:space="preserve">Svincolo della cauzione </w:t>
      </w:r>
    </w:p>
    <w:p w:rsidR="00372F15" w:rsidRPr="00A72571" w:rsidRDefault="00372F15" w:rsidP="00372F15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</w:p>
    <w:p w:rsidR="00BF674E" w:rsidRPr="00BF674E" w:rsidRDefault="00BF674E" w:rsidP="00BF674E">
      <w:pPr>
        <w:pStyle w:val="Paragrafoelenco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BF674E">
        <w:rPr>
          <w:rFonts w:asciiTheme="minorHAnsi" w:hAnsiTheme="minorHAnsi" w:cstheme="minorHAnsi"/>
          <w:szCs w:val="20"/>
        </w:rPr>
        <w:t>Il deposito cauzionale a garanzia della Fase lavorativa cessa di avere efficacia e può essere svincolato solo ad avvenuta costituzione del deposito cauzionale a</w:t>
      </w:r>
      <w:r w:rsidR="004C2859">
        <w:rPr>
          <w:rFonts w:asciiTheme="minorHAnsi" w:hAnsiTheme="minorHAnsi" w:cstheme="minorHAnsi"/>
          <w:szCs w:val="20"/>
        </w:rPr>
        <w:t xml:space="preserve"> garanzia della F</w:t>
      </w:r>
      <w:r w:rsidRPr="00BF674E">
        <w:rPr>
          <w:rFonts w:asciiTheme="minorHAnsi" w:hAnsiTheme="minorHAnsi" w:cstheme="minorHAnsi"/>
          <w:szCs w:val="20"/>
        </w:rPr>
        <w:t>ase successiva.</w:t>
      </w:r>
    </w:p>
    <w:p w:rsidR="00383BC5" w:rsidRPr="00383BC5" w:rsidRDefault="00383BC5" w:rsidP="00BF674E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Ad ultimazione dei lavori della Fase</w:t>
      </w:r>
      <w:r w:rsidRPr="00383BC5">
        <w:rPr>
          <w:rFonts w:asciiTheme="minorHAnsi" w:hAnsiTheme="minorHAnsi" w:cstheme="minorHAnsi"/>
          <w:szCs w:val="20"/>
        </w:rPr>
        <w:t xml:space="preserve"> ed entro i successivi trenta giorni</w:t>
      </w:r>
      <w:r w:rsidR="00BF674E">
        <w:rPr>
          <w:rFonts w:asciiTheme="minorHAnsi" w:hAnsiTheme="minorHAnsi" w:cstheme="minorHAnsi"/>
          <w:szCs w:val="20"/>
        </w:rPr>
        <w:t>,</w:t>
      </w:r>
      <w:r w:rsidRPr="00383BC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la </w:t>
      </w:r>
      <w:r w:rsidR="00FA58AE">
        <w:rPr>
          <w:rFonts w:asciiTheme="minorHAnsi" w:hAnsiTheme="minorHAnsi" w:cstheme="minorHAnsi"/>
          <w:szCs w:val="20"/>
        </w:rPr>
        <w:t>d</w:t>
      </w:r>
      <w:r w:rsidRPr="00383BC5">
        <w:rPr>
          <w:rFonts w:asciiTheme="minorHAnsi" w:hAnsiTheme="minorHAnsi" w:cstheme="minorHAnsi"/>
          <w:szCs w:val="20"/>
        </w:rPr>
        <w:t>itta</w:t>
      </w:r>
      <w:r w:rsidR="00FA58AE">
        <w:rPr>
          <w:rFonts w:asciiTheme="minorHAnsi" w:hAnsiTheme="minorHAnsi" w:cstheme="minorHAnsi"/>
          <w:szCs w:val="20"/>
        </w:rPr>
        <w:t>/s</w:t>
      </w:r>
      <w:r>
        <w:rPr>
          <w:rFonts w:asciiTheme="minorHAnsi" w:hAnsiTheme="minorHAnsi" w:cstheme="minorHAnsi"/>
          <w:szCs w:val="20"/>
        </w:rPr>
        <w:t>ocietà autorizzata trasmette all’</w:t>
      </w:r>
      <w:r>
        <w:rPr>
          <w:rFonts w:asciiTheme="minorHAnsi" w:hAnsiTheme="minorHAnsi" w:cstheme="minorHAnsi"/>
          <w:szCs w:val="20"/>
        </w:rPr>
        <w:t>U</w:t>
      </w:r>
      <w:r w:rsidRPr="00372F15">
        <w:rPr>
          <w:rFonts w:asciiTheme="minorHAnsi" w:hAnsiTheme="minorHAnsi" w:cstheme="minorHAnsi"/>
          <w:szCs w:val="20"/>
        </w:rPr>
        <w:t>fficio</w:t>
      </w:r>
      <w:r>
        <w:rPr>
          <w:rFonts w:asciiTheme="minorHAnsi" w:hAnsiTheme="minorHAnsi" w:cstheme="minorHAnsi"/>
          <w:szCs w:val="20"/>
        </w:rPr>
        <w:t xml:space="preserve"> Difesa del Suolo, Geologia e Attività Estrattive</w:t>
      </w:r>
      <w:r w:rsidRPr="00383BC5">
        <w:rPr>
          <w:rFonts w:asciiTheme="minorHAnsi" w:hAnsiTheme="minorHAnsi" w:cstheme="minorHAnsi"/>
          <w:szCs w:val="20"/>
        </w:rPr>
        <w:t xml:space="preserve"> un nuovo contratto di garanzia, </w:t>
      </w:r>
      <w:r>
        <w:rPr>
          <w:rFonts w:asciiTheme="minorHAnsi" w:hAnsiTheme="minorHAnsi" w:cstheme="minorHAnsi"/>
          <w:szCs w:val="20"/>
        </w:rPr>
        <w:lastRenderedPageBreak/>
        <w:t>relativo alla nuova Fase di lavorazione</w:t>
      </w:r>
      <w:r w:rsidRPr="00383BC5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In caso di inottemperanza, l’Ufficio sospende i lavori di coltivazione.</w:t>
      </w:r>
    </w:p>
    <w:p w:rsidR="00A27F07" w:rsidRDefault="009275A2" w:rsidP="00BF674E">
      <w:pPr>
        <w:pStyle w:val="Paragrafoelenco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L’U</w:t>
      </w:r>
      <w:r w:rsidR="00A27F07" w:rsidRPr="00372F15">
        <w:rPr>
          <w:rFonts w:asciiTheme="minorHAnsi" w:hAnsiTheme="minorHAnsi" w:cstheme="minorHAnsi"/>
          <w:szCs w:val="20"/>
        </w:rPr>
        <w:t>fficio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Difesa del Suolo, Geologia e Attività Estrattive</w:t>
      </w:r>
      <w:r w:rsidR="00521DC4">
        <w:rPr>
          <w:rFonts w:asciiTheme="minorHAnsi" w:hAnsiTheme="minorHAnsi" w:cstheme="minorHAnsi"/>
          <w:szCs w:val="20"/>
        </w:rPr>
        <w:t>, acquisito l’assenso</w:t>
      </w:r>
      <w:r w:rsidR="00A27F07" w:rsidRPr="00372F15">
        <w:rPr>
          <w:rFonts w:asciiTheme="minorHAnsi" w:hAnsiTheme="minorHAnsi" w:cstheme="minorHAnsi"/>
          <w:szCs w:val="20"/>
        </w:rPr>
        <w:t xml:space="preserve"> degli uffici coinvolti, procede allo svincolo della cauzione</w:t>
      </w:r>
      <w:r w:rsidR="00372F15">
        <w:rPr>
          <w:rFonts w:asciiTheme="minorHAnsi" w:hAnsiTheme="minorHAnsi" w:cstheme="minorHAnsi"/>
          <w:szCs w:val="20"/>
        </w:rPr>
        <w:t>.</w:t>
      </w:r>
      <w:r w:rsidR="00A27F07" w:rsidRPr="00372F15">
        <w:rPr>
          <w:rFonts w:asciiTheme="minorHAnsi" w:hAnsiTheme="minorHAnsi" w:cstheme="minorHAnsi"/>
          <w:szCs w:val="20"/>
        </w:rPr>
        <w:t xml:space="preserve"> </w:t>
      </w:r>
    </w:p>
    <w:p w:rsidR="00383BC5" w:rsidRPr="00383BC5" w:rsidRDefault="00383BC5" w:rsidP="00FE2D09">
      <w:pPr>
        <w:spacing w:after="120"/>
        <w:jc w:val="both"/>
        <w:rPr>
          <w:rFonts w:asciiTheme="minorHAnsi" w:hAnsiTheme="minorHAnsi" w:cstheme="minorHAnsi"/>
          <w:szCs w:val="20"/>
        </w:rPr>
      </w:pPr>
    </w:p>
    <w:p w:rsidR="00E005CB" w:rsidRPr="008542EC" w:rsidRDefault="00E005CB" w:rsidP="00E005CB">
      <w:pPr>
        <w:pStyle w:val="Paragrafoelenco"/>
        <w:spacing w:after="120"/>
        <w:jc w:val="both"/>
        <w:rPr>
          <w:rFonts w:asciiTheme="minorHAnsi" w:hAnsiTheme="minorHAnsi" w:cstheme="minorHAnsi"/>
          <w:szCs w:val="20"/>
        </w:rPr>
      </w:pPr>
    </w:p>
    <w:p w:rsidR="00E005CB" w:rsidRPr="008542EC" w:rsidRDefault="003154C2" w:rsidP="00E005CB">
      <w:pPr>
        <w:pStyle w:val="Paragrafoelenco"/>
        <w:spacing w:after="120"/>
        <w:ind w:left="426"/>
        <w:jc w:val="center"/>
        <w:rPr>
          <w:rFonts w:asciiTheme="minorHAnsi" w:hAnsiTheme="minorHAnsi" w:cstheme="minorHAnsi"/>
          <w:b/>
          <w:szCs w:val="20"/>
        </w:rPr>
      </w:pPr>
      <w:r w:rsidRPr="00A90F6D">
        <w:rPr>
          <w:rFonts w:asciiTheme="minorHAnsi" w:hAnsiTheme="minorHAnsi" w:cstheme="minorHAnsi"/>
          <w:b/>
          <w:szCs w:val="20"/>
        </w:rPr>
        <w:t xml:space="preserve">Art. 8 - </w:t>
      </w:r>
      <w:r w:rsidR="000E28AD">
        <w:rPr>
          <w:rFonts w:asciiTheme="minorHAnsi" w:hAnsiTheme="minorHAnsi" w:cstheme="minorHAnsi"/>
          <w:b/>
          <w:szCs w:val="20"/>
        </w:rPr>
        <w:t>Modalità di r</w:t>
      </w:r>
      <w:r w:rsidR="00E005CB" w:rsidRPr="00A90F6D">
        <w:rPr>
          <w:rFonts w:asciiTheme="minorHAnsi" w:hAnsiTheme="minorHAnsi" w:cstheme="minorHAnsi"/>
          <w:b/>
          <w:szCs w:val="20"/>
        </w:rPr>
        <w:t>ivalutazione</w:t>
      </w:r>
      <w:r w:rsidR="000E28AD">
        <w:rPr>
          <w:rFonts w:asciiTheme="minorHAnsi" w:hAnsiTheme="minorHAnsi" w:cstheme="minorHAnsi"/>
          <w:b/>
          <w:szCs w:val="20"/>
        </w:rPr>
        <w:t xml:space="preserve"> del deposito cauzionale</w:t>
      </w:r>
    </w:p>
    <w:p w:rsidR="00E005CB" w:rsidRPr="008542EC" w:rsidRDefault="00E005CB" w:rsidP="00E005C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b/>
          <w:szCs w:val="20"/>
        </w:rPr>
      </w:pPr>
    </w:p>
    <w:p w:rsidR="00544470" w:rsidRDefault="00544470" w:rsidP="00544470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544470">
        <w:rPr>
          <w:rFonts w:asciiTheme="minorHAnsi" w:hAnsiTheme="minorHAnsi" w:cstheme="minorHAnsi"/>
          <w:szCs w:val="20"/>
        </w:rPr>
        <w:t xml:space="preserve">Il deposito cauzionale a garanzia è oggetto di adeguamento ogni due (2) anni, secondo lo schema di cui all’ “Allegato 4”, in base all’aggiornamento del prezziario per l’esecuzione delle Opere Pubbliche della Regione Basilicata. </w:t>
      </w:r>
    </w:p>
    <w:p w:rsidR="00E005CB" w:rsidRPr="00544470" w:rsidRDefault="00544470" w:rsidP="00544470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Copia del</w:t>
      </w:r>
      <w:r w:rsidR="00E005CB" w:rsidRPr="00544470">
        <w:rPr>
          <w:rFonts w:asciiTheme="minorHAnsi" w:hAnsiTheme="minorHAnsi" w:cstheme="minorHAnsi"/>
          <w:szCs w:val="20"/>
        </w:rPr>
        <w:t xml:space="preserve"> </w:t>
      </w:r>
      <w:r w:rsidR="00C9147A">
        <w:rPr>
          <w:rFonts w:asciiTheme="minorHAnsi" w:hAnsiTheme="minorHAnsi" w:cstheme="minorHAnsi"/>
          <w:szCs w:val="20"/>
        </w:rPr>
        <w:t>provvedimento di</w:t>
      </w:r>
      <w:r w:rsidR="00E005CB" w:rsidRPr="00544470">
        <w:rPr>
          <w:rFonts w:asciiTheme="minorHAnsi" w:hAnsiTheme="minorHAnsi" w:cstheme="minorHAnsi"/>
          <w:szCs w:val="20"/>
        </w:rPr>
        <w:t xml:space="preserve"> </w:t>
      </w:r>
      <w:r w:rsidR="00C9147A">
        <w:rPr>
          <w:rFonts w:asciiTheme="minorHAnsi" w:hAnsiTheme="minorHAnsi" w:cstheme="minorHAnsi"/>
          <w:szCs w:val="20"/>
        </w:rPr>
        <w:t>adeguamento</w:t>
      </w:r>
      <w:r w:rsidR="00B40547" w:rsidRPr="0054447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è trasmessa all’Ufficio </w:t>
      </w:r>
      <w:r w:rsidR="008B325D">
        <w:rPr>
          <w:rFonts w:asciiTheme="minorHAnsi" w:hAnsiTheme="minorHAnsi" w:cstheme="minorHAnsi"/>
          <w:szCs w:val="20"/>
        </w:rPr>
        <w:t>Difesa del Suolo, Geologia e Attività Estrattive</w:t>
      </w:r>
      <w:r w:rsidR="00E005CB" w:rsidRPr="00544470">
        <w:rPr>
          <w:rFonts w:asciiTheme="minorHAnsi" w:hAnsiTheme="minorHAnsi" w:cstheme="minorHAnsi"/>
          <w:szCs w:val="20"/>
        </w:rPr>
        <w:t>.</w:t>
      </w:r>
    </w:p>
    <w:p w:rsidR="00E005CB" w:rsidRPr="008542EC" w:rsidRDefault="00E005CB" w:rsidP="00E005CB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8542EC">
        <w:rPr>
          <w:rFonts w:asciiTheme="minorHAnsi" w:hAnsiTheme="minorHAnsi" w:cstheme="minorHAnsi"/>
          <w:szCs w:val="20"/>
        </w:rPr>
        <w:t>I</w:t>
      </w:r>
      <w:r w:rsidR="00C9147A">
        <w:rPr>
          <w:rFonts w:asciiTheme="minorHAnsi" w:hAnsiTheme="minorHAnsi" w:cstheme="minorHAnsi"/>
          <w:szCs w:val="20"/>
        </w:rPr>
        <w:t xml:space="preserve">l computo del termine biennale di </w:t>
      </w:r>
      <w:r w:rsidRPr="008542EC">
        <w:rPr>
          <w:rFonts w:asciiTheme="minorHAnsi" w:hAnsiTheme="minorHAnsi" w:cstheme="minorHAnsi"/>
          <w:szCs w:val="20"/>
        </w:rPr>
        <w:t>adeguamento del deposito</w:t>
      </w:r>
      <w:r w:rsidR="00BC13B1">
        <w:rPr>
          <w:rFonts w:asciiTheme="minorHAnsi" w:hAnsiTheme="minorHAnsi" w:cstheme="minorHAnsi"/>
          <w:szCs w:val="20"/>
        </w:rPr>
        <w:t xml:space="preserve"> cauzionale</w:t>
      </w:r>
      <w:r w:rsidRPr="008542EC">
        <w:rPr>
          <w:rFonts w:asciiTheme="minorHAnsi" w:hAnsiTheme="minorHAnsi" w:cstheme="minorHAnsi"/>
          <w:szCs w:val="20"/>
        </w:rPr>
        <w:t xml:space="preserve"> </w:t>
      </w:r>
      <w:r w:rsidR="00DE739E">
        <w:rPr>
          <w:rFonts w:asciiTheme="minorHAnsi" w:hAnsiTheme="minorHAnsi" w:cstheme="minorHAnsi"/>
          <w:szCs w:val="20"/>
        </w:rPr>
        <w:t>decorre dal</w:t>
      </w:r>
      <w:r w:rsidRPr="008542EC">
        <w:rPr>
          <w:rFonts w:asciiTheme="minorHAnsi" w:hAnsiTheme="minorHAnsi" w:cstheme="minorHAnsi"/>
          <w:szCs w:val="20"/>
        </w:rPr>
        <w:t xml:space="preserve">la data del provvedimento </w:t>
      </w:r>
      <w:r w:rsidR="00765C0B">
        <w:rPr>
          <w:rFonts w:asciiTheme="minorHAnsi" w:hAnsiTheme="minorHAnsi" w:cstheme="minorHAnsi"/>
          <w:szCs w:val="20"/>
        </w:rPr>
        <w:t>deliberativo di autorizzazione</w:t>
      </w:r>
      <w:r w:rsidR="00C9147A">
        <w:rPr>
          <w:rFonts w:asciiTheme="minorHAnsi" w:hAnsiTheme="minorHAnsi" w:cstheme="minorHAnsi"/>
          <w:szCs w:val="20"/>
        </w:rPr>
        <w:t xml:space="preserve"> alla coltivazione mineraria</w:t>
      </w:r>
      <w:r w:rsidRPr="008542EC">
        <w:rPr>
          <w:rFonts w:asciiTheme="minorHAnsi" w:hAnsiTheme="minorHAnsi" w:cstheme="minorHAnsi"/>
          <w:szCs w:val="20"/>
        </w:rPr>
        <w:t>.</w:t>
      </w:r>
    </w:p>
    <w:p w:rsidR="00A90F6D" w:rsidRPr="00A90F6D" w:rsidRDefault="00A90F6D" w:rsidP="00A90F6D">
      <w:pPr>
        <w:spacing w:after="120"/>
        <w:jc w:val="both"/>
        <w:rPr>
          <w:rFonts w:asciiTheme="minorHAnsi" w:hAnsiTheme="minorHAnsi" w:cstheme="minorHAnsi"/>
          <w:szCs w:val="20"/>
        </w:rPr>
      </w:pPr>
    </w:p>
    <w:p w:rsidR="00A90F6D" w:rsidRDefault="00A90F6D" w:rsidP="00A90F6D">
      <w:pPr>
        <w:pStyle w:val="Paragrafoelenco"/>
        <w:spacing w:after="120"/>
        <w:jc w:val="center"/>
        <w:rPr>
          <w:rFonts w:asciiTheme="minorHAnsi" w:hAnsiTheme="minorHAnsi" w:cstheme="minorHAnsi"/>
          <w:b/>
          <w:szCs w:val="20"/>
        </w:rPr>
      </w:pPr>
      <w:r w:rsidRPr="00A90F6D">
        <w:rPr>
          <w:rFonts w:asciiTheme="minorHAnsi" w:hAnsiTheme="minorHAnsi" w:cstheme="minorHAnsi"/>
          <w:b/>
          <w:szCs w:val="20"/>
        </w:rPr>
        <w:t xml:space="preserve">Art. 9 </w:t>
      </w:r>
      <w:r>
        <w:rPr>
          <w:rFonts w:asciiTheme="minorHAnsi" w:hAnsiTheme="minorHAnsi" w:cstheme="minorHAnsi"/>
          <w:b/>
          <w:szCs w:val="20"/>
        </w:rPr>
        <w:t>-</w:t>
      </w:r>
      <w:r w:rsidR="000E28AD">
        <w:rPr>
          <w:rFonts w:asciiTheme="minorHAnsi" w:hAnsiTheme="minorHAnsi" w:cstheme="minorHAnsi"/>
          <w:b/>
          <w:szCs w:val="20"/>
        </w:rPr>
        <w:t>Aggiornamento del</w:t>
      </w:r>
      <w:r>
        <w:rPr>
          <w:rFonts w:asciiTheme="minorHAnsi" w:hAnsiTheme="minorHAnsi" w:cstheme="minorHAnsi"/>
          <w:b/>
          <w:szCs w:val="20"/>
        </w:rPr>
        <w:t xml:space="preserve"> deposito cauzionale</w:t>
      </w:r>
    </w:p>
    <w:p w:rsidR="00A90F6D" w:rsidRPr="00A90F6D" w:rsidRDefault="00A90F6D" w:rsidP="00A90F6D">
      <w:pPr>
        <w:pStyle w:val="Paragrafoelenco"/>
        <w:spacing w:after="120"/>
        <w:jc w:val="center"/>
        <w:rPr>
          <w:rFonts w:asciiTheme="minorHAnsi" w:hAnsiTheme="minorHAnsi" w:cstheme="minorHAnsi"/>
          <w:b/>
          <w:szCs w:val="20"/>
        </w:rPr>
      </w:pPr>
    </w:p>
    <w:p w:rsidR="00E005CB" w:rsidRDefault="00A90F6D" w:rsidP="000E28AD">
      <w:pPr>
        <w:pStyle w:val="Paragrafoelenco"/>
        <w:numPr>
          <w:ilvl w:val="0"/>
          <w:numId w:val="17"/>
        </w:numPr>
        <w:spacing w:after="120"/>
        <w:ind w:left="7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</w:t>
      </w:r>
      <w:r w:rsidR="00190D18">
        <w:rPr>
          <w:rFonts w:asciiTheme="minorHAnsi" w:hAnsiTheme="minorHAnsi" w:cstheme="minorHAnsi"/>
          <w:szCs w:val="20"/>
        </w:rPr>
        <w:t>addove ricorrano</w:t>
      </w:r>
      <w:r w:rsidR="00E005CB" w:rsidRPr="008542EC">
        <w:rPr>
          <w:rFonts w:asciiTheme="minorHAnsi" w:hAnsiTheme="minorHAnsi" w:cstheme="minorHAnsi"/>
          <w:szCs w:val="20"/>
        </w:rPr>
        <w:t xml:space="preserve"> varianti progettuali </w:t>
      </w:r>
      <w:r>
        <w:rPr>
          <w:rFonts w:asciiTheme="minorHAnsi" w:hAnsiTheme="minorHAnsi" w:cstheme="minorHAnsi"/>
          <w:szCs w:val="20"/>
        </w:rPr>
        <w:t xml:space="preserve">che determinano una modifica dell’importo garantito dal deposito cauzionale </w:t>
      </w:r>
      <w:r w:rsidR="00E005CB" w:rsidRPr="008542EC">
        <w:rPr>
          <w:rFonts w:asciiTheme="minorHAnsi" w:hAnsiTheme="minorHAnsi" w:cstheme="minorHAnsi"/>
          <w:szCs w:val="20"/>
        </w:rPr>
        <w:t>e quando intervengono modifiche progettuali che comportano un</w:t>
      </w:r>
      <w:r w:rsidR="000E28AD">
        <w:rPr>
          <w:rFonts w:asciiTheme="minorHAnsi" w:hAnsiTheme="minorHAnsi" w:cstheme="minorHAnsi"/>
          <w:szCs w:val="20"/>
        </w:rPr>
        <w:t xml:space="preserve">a variazione </w:t>
      </w:r>
      <w:r w:rsidR="00E005CB" w:rsidRPr="008542EC">
        <w:rPr>
          <w:rFonts w:asciiTheme="minorHAnsi" w:hAnsiTheme="minorHAnsi" w:cstheme="minorHAnsi"/>
          <w:szCs w:val="20"/>
        </w:rPr>
        <w:t>del computo metrico estimativo dei lavori di ripristino e restit</w:t>
      </w:r>
      <w:r>
        <w:rPr>
          <w:rFonts w:asciiTheme="minorHAnsi" w:hAnsiTheme="minorHAnsi" w:cstheme="minorHAnsi"/>
          <w:szCs w:val="20"/>
        </w:rPr>
        <w:t xml:space="preserve">uzione finale dell’area di cava, la ditta/società autorizzata aggiorna </w:t>
      </w:r>
      <w:r w:rsidR="000E28AD">
        <w:rPr>
          <w:rFonts w:asciiTheme="minorHAnsi" w:hAnsiTheme="minorHAnsi" w:cstheme="minorHAnsi"/>
          <w:szCs w:val="20"/>
        </w:rPr>
        <w:t>il deposito cauzionale o ne costituisce uno nuovo.</w:t>
      </w:r>
    </w:p>
    <w:p w:rsidR="000E28AD" w:rsidRDefault="005D7692" w:rsidP="00DF4DA6">
      <w:pPr>
        <w:pStyle w:val="Paragrafoelenco"/>
        <w:numPr>
          <w:ilvl w:val="0"/>
          <w:numId w:val="17"/>
        </w:numPr>
        <w:spacing w:after="120"/>
        <w:ind w:left="7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Nelle ipotesi disciplinate dal presente articolo resta ferma l’applicazione dell’aggiornamento biennale </w:t>
      </w:r>
      <w:r w:rsidRPr="00544470">
        <w:rPr>
          <w:rFonts w:asciiTheme="minorHAnsi" w:hAnsiTheme="minorHAnsi" w:cstheme="minorHAnsi"/>
          <w:szCs w:val="20"/>
        </w:rPr>
        <w:t>in base all’aggiornamento del prezziario per l’esecuzione delle Opere Pubbliche della Regione Basilicata</w:t>
      </w:r>
      <w:r>
        <w:rPr>
          <w:rFonts w:asciiTheme="minorHAnsi" w:hAnsiTheme="minorHAnsi" w:cstheme="minorHAnsi"/>
          <w:szCs w:val="20"/>
        </w:rPr>
        <w:t>.</w:t>
      </w:r>
    </w:p>
    <w:p w:rsidR="00DF4DA6" w:rsidRPr="00DF4DA6" w:rsidRDefault="00DF4DA6" w:rsidP="00DF4DA6">
      <w:pPr>
        <w:pStyle w:val="Paragrafoelenco"/>
        <w:spacing w:after="120"/>
        <w:ind w:left="709"/>
        <w:jc w:val="both"/>
        <w:rPr>
          <w:rFonts w:asciiTheme="minorHAnsi" w:hAnsiTheme="minorHAnsi" w:cstheme="minorHAnsi"/>
          <w:szCs w:val="20"/>
        </w:rPr>
      </w:pPr>
    </w:p>
    <w:p w:rsidR="00E005CB" w:rsidRPr="009955A9" w:rsidRDefault="005D7692" w:rsidP="009955A9">
      <w:pPr>
        <w:pStyle w:val="Paragrafoelenco"/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Art. 10</w:t>
      </w:r>
      <w:r w:rsidR="003154C2">
        <w:rPr>
          <w:rFonts w:asciiTheme="minorHAnsi" w:hAnsiTheme="minorHAnsi" w:cstheme="minorHAnsi"/>
          <w:b/>
          <w:szCs w:val="20"/>
        </w:rPr>
        <w:t xml:space="preserve"> </w:t>
      </w:r>
      <w:r w:rsidR="002F401C">
        <w:rPr>
          <w:rFonts w:asciiTheme="minorHAnsi" w:hAnsiTheme="minorHAnsi" w:cstheme="minorHAnsi"/>
          <w:b/>
          <w:szCs w:val="20"/>
        </w:rPr>
        <w:t>–</w:t>
      </w:r>
      <w:r w:rsidR="003154C2">
        <w:rPr>
          <w:rFonts w:asciiTheme="minorHAnsi" w:hAnsiTheme="minorHAnsi" w:cstheme="minorHAnsi"/>
          <w:b/>
          <w:szCs w:val="20"/>
        </w:rPr>
        <w:t xml:space="preserve"> </w:t>
      </w:r>
      <w:r w:rsidR="00E005CB" w:rsidRPr="008542EC">
        <w:rPr>
          <w:rFonts w:asciiTheme="minorHAnsi" w:hAnsiTheme="minorHAnsi" w:cstheme="minorHAnsi"/>
          <w:b/>
          <w:szCs w:val="20"/>
        </w:rPr>
        <w:t>Riduzione</w:t>
      </w:r>
      <w:r w:rsidR="002F401C">
        <w:rPr>
          <w:rFonts w:asciiTheme="minorHAnsi" w:hAnsiTheme="minorHAnsi" w:cstheme="minorHAnsi"/>
          <w:b/>
          <w:szCs w:val="20"/>
        </w:rPr>
        <w:t xml:space="preserve"> del deposito cauzionale</w:t>
      </w:r>
    </w:p>
    <w:p w:rsidR="00E005CB" w:rsidRPr="008542EC" w:rsidRDefault="00C731FD" w:rsidP="00E005CB">
      <w:pPr>
        <w:pStyle w:val="Paragrafoelenco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L'importo del deposito a </w:t>
      </w:r>
      <w:r w:rsidR="00E005CB" w:rsidRPr="008542EC">
        <w:rPr>
          <w:rFonts w:asciiTheme="minorHAnsi" w:hAnsiTheme="minorHAnsi" w:cstheme="minorHAnsi"/>
          <w:bCs/>
        </w:rPr>
        <w:t xml:space="preserve"> garanzia è ridotto del 10 per cento, cumulabile con la riduzione di cui al</w:t>
      </w:r>
      <w:r>
        <w:rPr>
          <w:rFonts w:asciiTheme="minorHAnsi" w:hAnsiTheme="minorHAnsi" w:cstheme="minorHAnsi"/>
          <w:bCs/>
        </w:rPr>
        <w:t xml:space="preserve"> comma 1</w:t>
      </w:r>
      <w:r w:rsidR="00E005CB" w:rsidRPr="008542EC">
        <w:rPr>
          <w:rFonts w:asciiTheme="minorHAnsi" w:hAnsiTheme="minorHAnsi" w:cstheme="minorHAnsi"/>
          <w:bCs/>
        </w:rPr>
        <w:t xml:space="preserve">, </w:t>
      </w:r>
      <w:r w:rsidR="00A54F5C">
        <w:rPr>
          <w:rFonts w:asciiTheme="minorHAnsi" w:hAnsiTheme="minorHAnsi" w:cstheme="minorHAnsi"/>
          <w:bCs/>
        </w:rPr>
        <w:t>se la ditta/società autorizzata abbia stipulato</w:t>
      </w:r>
      <w:r w:rsidR="00E005CB" w:rsidRPr="008542EC">
        <w:rPr>
          <w:rFonts w:asciiTheme="minorHAnsi" w:hAnsiTheme="minorHAnsi" w:cstheme="minorHAnsi"/>
          <w:bCs/>
        </w:rPr>
        <w:t xml:space="preserve"> una fideiussione, emessa e firmata digitalmente, da imprese bancarie o assicurative che rispondano ai requisiti di solvibilità previsti dalle leggi che ne disciplinano</w:t>
      </w:r>
      <w:r w:rsidR="00DF4DA6">
        <w:rPr>
          <w:rFonts w:asciiTheme="minorHAnsi" w:hAnsiTheme="minorHAnsi" w:cstheme="minorHAnsi"/>
          <w:bCs/>
        </w:rPr>
        <w:t xml:space="preserve"> le rispettive attività o da</w:t>
      </w:r>
      <w:r w:rsidR="00E005CB" w:rsidRPr="008542EC">
        <w:rPr>
          <w:rFonts w:asciiTheme="minorHAnsi" w:hAnsiTheme="minorHAnsi" w:cstheme="minorHAnsi"/>
          <w:bCs/>
        </w:rPr>
        <w:t xml:space="preserve"> intermediari finanziari iscritti nell'albo di  cui  all'articolo  106 del testo unico delle leggi in materia bancaria e creditizia, di  cui al decreto legislativo 1° settembre 1993, n. 385, che svolgono in via esclusiva o prevalente attività di rilascio di garanzie e  che  sono sottoposti  a  revisione  contabile  da  parte  di  una  società  di revisione iscritta nell'apposito  albo  e  che  abbiano  i  requisiti minimi di solvibilità richiesti  dalla  vigente  normativa  bancaria assicurativa. La garanzia fideiussoria deve essere emessa  e  firmata digitalmente; essa de</w:t>
      </w:r>
      <w:r w:rsidR="00891D4C">
        <w:rPr>
          <w:rFonts w:asciiTheme="minorHAnsi" w:hAnsiTheme="minorHAnsi" w:cstheme="minorHAnsi"/>
          <w:bCs/>
        </w:rPr>
        <w:t xml:space="preserve">ve essere altresì verificabile </w:t>
      </w:r>
      <w:r w:rsidR="00E005CB" w:rsidRPr="008542EC">
        <w:rPr>
          <w:rFonts w:asciiTheme="minorHAnsi" w:hAnsiTheme="minorHAnsi" w:cstheme="minorHAnsi"/>
          <w:bCs/>
        </w:rPr>
        <w:t xml:space="preserve">telematicamente presso l'emittente ovvero  gestita  mediante  ricorso  a  piattaforme operanti con tecnologie  basate  su  registri  distribuiti  ai  sensi dell'articolo 8-ter, comma 1, del decreto-legge 14 dicembre 2018,  n.135, convertito, con modificazioni, dalla legge 11 febbraio 2019,  n.12,  conformi  alle  caratteristiche  stabilite  dall'AGID   con   il provvedimento di cui all'articolo 26, comma 1. </w:t>
      </w:r>
    </w:p>
    <w:p w:rsidR="00385C8F" w:rsidRPr="00385C8F" w:rsidRDefault="00385C8F" w:rsidP="00DF4DA6">
      <w:pPr>
        <w:jc w:val="both"/>
        <w:rPr>
          <w:lang w:eastAsia="en-US"/>
        </w:rPr>
      </w:pPr>
    </w:p>
    <w:p w:rsidR="00616A20" w:rsidRPr="00894545" w:rsidRDefault="00DF4DA6" w:rsidP="00871E19">
      <w:pPr>
        <w:tabs>
          <w:tab w:val="left" w:pos="4182"/>
        </w:tabs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894545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Art. 11 </w:t>
      </w:r>
      <w:r w:rsidR="00616A20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– </w:t>
      </w:r>
      <w:r w:rsidR="00871E1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Disposizione finale</w:t>
      </w:r>
    </w:p>
    <w:p w:rsidR="00385C8F" w:rsidRPr="00385C8F" w:rsidRDefault="00385C8F" w:rsidP="00871E19">
      <w:pPr>
        <w:jc w:val="center"/>
        <w:rPr>
          <w:lang w:eastAsia="en-US"/>
        </w:rPr>
      </w:pPr>
    </w:p>
    <w:p w:rsidR="00FB0C97" w:rsidRDefault="00C81CDB" w:rsidP="00C81CDB">
      <w:pPr>
        <w:pStyle w:val="Paragrafoelenco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Le ditte/società autorizzate in forza di provvedimenti deliberativi adottati prima dell’entrata in vigore del presente disciplinare possono presentare, all’Ufficio </w:t>
      </w:r>
      <w:r w:rsidR="008B325D">
        <w:rPr>
          <w:rFonts w:asciiTheme="minorHAnsi" w:hAnsiTheme="minorHAnsi" w:cstheme="minorHAnsi"/>
          <w:szCs w:val="20"/>
        </w:rPr>
        <w:t xml:space="preserve">Difesa del Suolo, Geologia e Attività </w:t>
      </w:r>
      <w:r w:rsidR="008B325D">
        <w:rPr>
          <w:rFonts w:asciiTheme="minorHAnsi" w:hAnsiTheme="minorHAnsi" w:cstheme="minorHAnsi"/>
          <w:szCs w:val="20"/>
        </w:rPr>
        <w:lastRenderedPageBreak/>
        <w:t>Estrattive</w:t>
      </w:r>
      <w:r>
        <w:rPr>
          <w:rFonts w:asciiTheme="minorHAnsi" w:hAnsiTheme="minorHAnsi" w:cstheme="minorHAnsi"/>
          <w:szCs w:val="20"/>
        </w:rPr>
        <w:t>, istanza di adeguamento del deposito ca</w:t>
      </w:r>
      <w:r w:rsidR="00B7684E">
        <w:rPr>
          <w:rFonts w:asciiTheme="minorHAnsi" w:hAnsiTheme="minorHAnsi" w:cstheme="minorHAnsi"/>
          <w:szCs w:val="20"/>
        </w:rPr>
        <w:t>uzionale stipulato alle</w:t>
      </w:r>
      <w:r>
        <w:rPr>
          <w:rFonts w:asciiTheme="minorHAnsi" w:hAnsiTheme="minorHAnsi" w:cstheme="minorHAnsi"/>
          <w:szCs w:val="20"/>
        </w:rPr>
        <w:t xml:space="preserve"> </w:t>
      </w:r>
      <w:r w:rsidR="00B7684E">
        <w:rPr>
          <w:rFonts w:asciiTheme="minorHAnsi" w:hAnsiTheme="minorHAnsi" w:cstheme="minorHAnsi"/>
          <w:szCs w:val="20"/>
        </w:rPr>
        <w:t>disposizioni di cui agli articoli precedenti</w:t>
      </w:r>
      <w:r>
        <w:rPr>
          <w:rFonts w:asciiTheme="minorHAnsi" w:hAnsiTheme="minorHAnsi" w:cstheme="minorHAnsi"/>
          <w:szCs w:val="20"/>
        </w:rPr>
        <w:t xml:space="preserve">. </w:t>
      </w:r>
    </w:p>
    <w:p w:rsidR="00354F02" w:rsidRPr="00DC10A6" w:rsidRDefault="00354F02" w:rsidP="00354F02">
      <w:pPr>
        <w:pStyle w:val="Paragrafoelenco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</w:t>
      </w:r>
      <w:r w:rsidRPr="00DC10A6">
        <w:rPr>
          <w:rFonts w:asciiTheme="minorHAnsi" w:hAnsiTheme="minorHAnsi" w:cstheme="minorHAnsi"/>
          <w:szCs w:val="20"/>
        </w:rPr>
        <w:t xml:space="preserve">’Ufficio </w:t>
      </w:r>
      <w:r>
        <w:rPr>
          <w:rFonts w:asciiTheme="minorHAnsi" w:hAnsiTheme="minorHAnsi" w:cstheme="minorHAnsi"/>
          <w:szCs w:val="20"/>
        </w:rPr>
        <w:t>Difesa del Suolo, Geologia e Attività Estrattive</w:t>
      </w:r>
      <w:r w:rsidRPr="00DC10A6">
        <w:rPr>
          <w:rFonts w:asciiTheme="minorHAnsi" w:hAnsiTheme="minorHAnsi" w:cstheme="minorHAnsi"/>
          <w:szCs w:val="20"/>
        </w:rPr>
        <w:t xml:space="preserve">, su richiesta della ditta/società autorizzata, ridetermina l’entità della garanzia a stati di avanzamento dei lavori </w:t>
      </w:r>
      <w:r>
        <w:rPr>
          <w:rFonts w:asciiTheme="minorHAnsi" w:hAnsiTheme="minorHAnsi" w:cstheme="minorHAnsi"/>
          <w:szCs w:val="20"/>
        </w:rPr>
        <w:t>(Fasi), ove le modalità di conduzione dei lavori di coltivazione mineraria lo consentano.</w:t>
      </w:r>
    </w:p>
    <w:p w:rsidR="00354F02" w:rsidRPr="00354F02" w:rsidRDefault="00354F02" w:rsidP="00354F02">
      <w:pPr>
        <w:spacing w:after="120"/>
        <w:jc w:val="both"/>
        <w:rPr>
          <w:rFonts w:asciiTheme="minorHAnsi" w:hAnsiTheme="minorHAnsi" w:cstheme="minorHAnsi"/>
          <w:szCs w:val="20"/>
        </w:rPr>
      </w:pPr>
    </w:p>
    <w:sectPr w:rsidR="00354F02" w:rsidRPr="00354F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8E" w:rsidRDefault="001F068E" w:rsidP="004B196B">
      <w:r>
        <w:separator/>
      </w:r>
    </w:p>
  </w:endnote>
  <w:endnote w:type="continuationSeparator" w:id="0">
    <w:p w:rsidR="001F068E" w:rsidRDefault="001F068E" w:rsidP="004B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8E" w:rsidRDefault="001F068E" w:rsidP="004B196B">
      <w:r>
        <w:separator/>
      </w:r>
    </w:p>
  </w:footnote>
  <w:footnote w:type="continuationSeparator" w:id="0">
    <w:p w:rsidR="001F068E" w:rsidRDefault="001F068E" w:rsidP="004B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6B" w:rsidRDefault="004B196B">
    <w:pPr>
      <w:pStyle w:val="Intestazione"/>
    </w:pPr>
    <w:r>
      <w:ptab w:relativeTo="margin" w:alignment="center" w:leader="none"/>
    </w:r>
    <w:r>
      <w:ptab w:relativeTo="margin" w:alignment="right" w:leader="none"/>
    </w:r>
    <w:r w:rsidRPr="004B196B">
      <w:rPr>
        <w:b/>
      </w:rPr>
      <w:t>ALLEGATO A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E0C"/>
    <w:multiLevelType w:val="hybridMultilevel"/>
    <w:tmpl w:val="20FE1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18A"/>
    <w:multiLevelType w:val="hybridMultilevel"/>
    <w:tmpl w:val="23328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C9"/>
    <w:multiLevelType w:val="hybridMultilevel"/>
    <w:tmpl w:val="1FBE3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F46"/>
    <w:multiLevelType w:val="hybridMultilevel"/>
    <w:tmpl w:val="78C49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766D"/>
    <w:multiLevelType w:val="hybridMultilevel"/>
    <w:tmpl w:val="C01C9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8C3"/>
    <w:multiLevelType w:val="hybridMultilevel"/>
    <w:tmpl w:val="3064DD70"/>
    <w:lvl w:ilvl="0" w:tplc="BE101F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228"/>
    <w:multiLevelType w:val="hybridMultilevel"/>
    <w:tmpl w:val="63C01AE8"/>
    <w:lvl w:ilvl="0" w:tplc="AFF605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4E5"/>
    <w:multiLevelType w:val="hybridMultilevel"/>
    <w:tmpl w:val="07243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31A2"/>
    <w:multiLevelType w:val="hybridMultilevel"/>
    <w:tmpl w:val="F2E4C5AA"/>
    <w:lvl w:ilvl="0" w:tplc="D3AA9A9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4ACB"/>
    <w:multiLevelType w:val="hybridMultilevel"/>
    <w:tmpl w:val="6F5C7A48"/>
    <w:lvl w:ilvl="0" w:tplc="88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559BC"/>
    <w:multiLevelType w:val="hybridMultilevel"/>
    <w:tmpl w:val="FF843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26B1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4327"/>
    <w:multiLevelType w:val="hybridMultilevel"/>
    <w:tmpl w:val="7682E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3D0"/>
    <w:multiLevelType w:val="hybridMultilevel"/>
    <w:tmpl w:val="A3D23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B27"/>
    <w:multiLevelType w:val="hybridMultilevel"/>
    <w:tmpl w:val="C3D08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539B"/>
    <w:multiLevelType w:val="hybridMultilevel"/>
    <w:tmpl w:val="5874F2B4"/>
    <w:lvl w:ilvl="0" w:tplc="7ABCFD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99E"/>
    <w:multiLevelType w:val="hybridMultilevel"/>
    <w:tmpl w:val="6090DD7A"/>
    <w:lvl w:ilvl="0" w:tplc="4ECEA18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E22BA"/>
    <w:multiLevelType w:val="hybridMultilevel"/>
    <w:tmpl w:val="C01C9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C558C"/>
    <w:multiLevelType w:val="hybridMultilevel"/>
    <w:tmpl w:val="D534E9F0"/>
    <w:lvl w:ilvl="0" w:tplc="4566C8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57"/>
    <w:multiLevelType w:val="hybridMultilevel"/>
    <w:tmpl w:val="FC7E2016"/>
    <w:lvl w:ilvl="0" w:tplc="23B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5"/>
  </w:num>
  <w:num w:numId="5">
    <w:abstractNumId w:val="1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5"/>
  </w:num>
  <w:num w:numId="15">
    <w:abstractNumId w:val="18"/>
  </w:num>
  <w:num w:numId="16">
    <w:abstractNumId w:val="13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CB"/>
    <w:rsid w:val="00011087"/>
    <w:rsid w:val="00025564"/>
    <w:rsid w:val="00071E34"/>
    <w:rsid w:val="00082F14"/>
    <w:rsid w:val="000A2600"/>
    <w:rsid w:val="000D2576"/>
    <w:rsid w:val="000E28AD"/>
    <w:rsid w:val="000E3043"/>
    <w:rsid w:val="00104C1C"/>
    <w:rsid w:val="00110002"/>
    <w:rsid w:val="00115201"/>
    <w:rsid w:val="00132CB7"/>
    <w:rsid w:val="00170227"/>
    <w:rsid w:val="00171DA9"/>
    <w:rsid w:val="00190D18"/>
    <w:rsid w:val="00196185"/>
    <w:rsid w:val="00196750"/>
    <w:rsid w:val="001A299F"/>
    <w:rsid w:val="001F068E"/>
    <w:rsid w:val="00263E71"/>
    <w:rsid w:val="002747E2"/>
    <w:rsid w:val="002E07F1"/>
    <w:rsid w:val="002F401C"/>
    <w:rsid w:val="003154C2"/>
    <w:rsid w:val="00344888"/>
    <w:rsid w:val="00353DCA"/>
    <w:rsid w:val="00354F02"/>
    <w:rsid w:val="0036469E"/>
    <w:rsid w:val="00372F15"/>
    <w:rsid w:val="00383BC5"/>
    <w:rsid w:val="00385C8F"/>
    <w:rsid w:val="003F2364"/>
    <w:rsid w:val="00460CD6"/>
    <w:rsid w:val="004809B6"/>
    <w:rsid w:val="004A2322"/>
    <w:rsid w:val="004B196B"/>
    <w:rsid w:val="004C2859"/>
    <w:rsid w:val="004C7478"/>
    <w:rsid w:val="004D0485"/>
    <w:rsid w:val="004E4289"/>
    <w:rsid w:val="0051091C"/>
    <w:rsid w:val="00521DC4"/>
    <w:rsid w:val="00544470"/>
    <w:rsid w:val="00590A72"/>
    <w:rsid w:val="005A5289"/>
    <w:rsid w:val="005A59E6"/>
    <w:rsid w:val="005D7692"/>
    <w:rsid w:val="005E046C"/>
    <w:rsid w:val="00602D26"/>
    <w:rsid w:val="00616A20"/>
    <w:rsid w:val="00677B5C"/>
    <w:rsid w:val="006A5ADA"/>
    <w:rsid w:val="006D4C07"/>
    <w:rsid w:val="00702B5C"/>
    <w:rsid w:val="00740AB7"/>
    <w:rsid w:val="0075497B"/>
    <w:rsid w:val="00765C0B"/>
    <w:rsid w:val="007F4033"/>
    <w:rsid w:val="007F4B8C"/>
    <w:rsid w:val="008214C1"/>
    <w:rsid w:val="0084204E"/>
    <w:rsid w:val="008424A0"/>
    <w:rsid w:val="00854760"/>
    <w:rsid w:val="00861442"/>
    <w:rsid w:val="00871E19"/>
    <w:rsid w:val="00884AAD"/>
    <w:rsid w:val="00891D4C"/>
    <w:rsid w:val="00894545"/>
    <w:rsid w:val="008B325D"/>
    <w:rsid w:val="008D251F"/>
    <w:rsid w:val="008E1BB3"/>
    <w:rsid w:val="009008EF"/>
    <w:rsid w:val="009275A2"/>
    <w:rsid w:val="00963CE7"/>
    <w:rsid w:val="009955A9"/>
    <w:rsid w:val="00A24B37"/>
    <w:rsid w:val="00A27F07"/>
    <w:rsid w:val="00A35FE1"/>
    <w:rsid w:val="00A54F5C"/>
    <w:rsid w:val="00A72571"/>
    <w:rsid w:val="00A75246"/>
    <w:rsid w:val="00A84521"/>
    <w:rsid w:val="00A90F6D"/>
    <w:rsid w:val="00AF683E"/>
    <w:rsid w:val="00B00808"/>
    <w:rsid w:val="00B40547"/>
    <w:rsid w:val="00B7684E"/>
    <w:rsid w:val="00BC13B1"/>
    <w:rsid w:val="00BE7944"/>
    <w:rsid w:val="00BF674E"/>
    <w:rsid w:val="00C709B7"/>
    <w:rsid w:val="00C731FD"/>
    <w:rsid w:val="00C81CDB"/>
    <w:rsid w:val="00C9147A"/>
    <w:rsid w:val="00CD3EEB"/>
    <w:rsid w:val="00CE1E42"/>
    <w:rsid w:val="00D121F2"/>
    <w:rsid w:val="00D52094"/>
    <w:rsid w:val="00D54B6D"/>
    <w:rsid w:val="00D623B6"/>
    <w:rsid w:val="00D72729"/>
    <w:rsid w:val="00D93008"/>
    <w:rsid w:val="00DA6218"/>
    <w:rsid w:val="00DC10A6"/>
    <w:rsid w:val="00DE739E"/>
    <w:rsid w:val="00DF4DA6"/>
    <w:rsid w:val="00E005CB"/>
    <w:rsid w:val="00E272C5"/>
    <w:rsid w:val="00E27ED0"/>
    <w:rsid w:val="00E65067"/>
    <w:rsid w:val="00EF1788"/>
    <w:rsid w:val="00F42CC2"/>
    <w:rsid w:val="00F63FB5"/>
    <w:rsid w:val="00FA58AE"/>
    <w:rsid w:val="00FB0059"/>
    <w:rsid w:val="00FB0C97"/>
    <w:rsid w:val="00FB32B3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02E9"/>
  <w15:chartTrackingRefBased/>
  <w15:docId w15:val="{2B1A70B6-7234-4B21-93BC-C3A8A39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5C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E005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locked/>
    <w:rsid w:val="00E005CB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E0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0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1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96B"/>
    <w:rPr>
      <w:rFonts w:ascii="Arial" w:eastAsia="Times New Roman" w:hAnsi="Arial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19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96B"/>
    <w:rPr>
      <w:rFonts w:ascii="Arial" w:eastAsia="Times New Roman" w:hAnsi="Arial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C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C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Ponzo Pasquale Luigi</dc:creator>
  <cp:keywords/>
  <dc:description/>
  <cp:lastModifiedBy>Galiani Romina</cp:lastModifiedBy>
  <cp:revision>107</cp:revision>
  <cp:lastPrinted>2023-11-23T09:51:00Z</cp:lastPrinted>
  <dcterms:created xsi:type="dcterms:W3CDTF">2023-11-20T13:49:00Z</dcterms:created>
  <dcterms:modified xsi:type="dcterms:W3CDTF">2023-11-23T15:51:00Z</dcterms:modified>
</cp:coreProperties>
</file>