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30EC" w14:textId="7F0E063F" w:rsidR="00DB6020" w:rsidRPr="0077142B" w:rsidRDefault="00DB6020" w:rsidP="00B75623">
      <w:pPr>
        <w:jc w:val="both"/>
        <w:rPr>
          <w:rFonts w:ascii="Garamond" w:hAnsi="Garamond"/>
          <w:highlight w:val="yellow"/>
        </w:rPr>
      </w:pPr>
    </w:p>
    <w:p w14:paraId="5A181350" w14:textId="64A27CF6" w:rsidR="00DB6020" w:rsidRPr="0077142B" w:rsidRDefault="00DB6020" w:rsidP="00B75623">
      <w:pPr>
        <w:rPr>
          <w:rFonts w:ascii="Garamond" w:hAnsi="Garamond"/>
          <w:b/>
          <w:bCs/>
        </w:rPr>
      </w:pPr>
    </w:p>
    <w:p w14:paraId="04DABF1E" w14:textId="6D9D3C3C" w:rsidR="00DB6020" w:rsidRPr="0077142B" w:rsidRDefault="49F161EF" w:rsidP="00B75623">
      <w:pPr>
        <w:jc w:val="center"/>
        <w:rPr>
          <w:rFonts w:ascii="Garamond" w:hAnsi="Garamond"/>
          <w:b/>
          <w:bCs/>
        </w:rPr>
      </w:pPr>
      <w:r w:rsidRPr="20D46D2A">
        <w:rPr>
          <w:rFonts w:ascii="Garamond" w:hAnsi="Garamond"/>
          <w:b/>
          <w:bCs/>
        </w:rPr>
        <w:t>PIANO NAZIONALE DI RIPRESA E RESILIENZA (PNRR)</w:t>
      </w:r>
    </w:p>
    <w:p w14:paraId="22C8B9FC" w14:textId="45AF78E0" w:rsidR="00A805E2" w:rsidRDefault="00A805E2" w:rsidP="0007508C">
      <w:pPr>
        <w:pStyle w:val="paragraph"/>
        <w:spacing w:before="0" w:beforeAutospacing="0" w:after="160" w:afterAutospacing="0" w:line="259" w:lineRule="auto"/>
        <w:jc w:val="center"/>
        <w:textAlignment w:val="baseline"/>
        <w:rPr>
          <w:rFonts w:ascii="Segoe UI" w:hAnsi="Segoe UI" w:cs="Segoe UI"/>
          <w:sz w:val="18"/>
          <w:szCs w:val="18"/>
        </w:rPr>
      </w:pPr>
      <w:r>
        <w:rPr>
          <w:rStyle w:val="normaltextrun"/>
          <w:rFonts w:ascii="Garamond" w:hAnsi="Garamond" w:cs="Segoe UI"/>
          <w:b/>
          <w:bCs/>
          <w:sz w:val="22"/>
          <w:szCs w:val="22"/>
        </w:rPr>
        <w:t>Missione 5 Componente 1</w:t>
      </w:r>
    </w:p>
    <w:p w14:paraId="0993BB03" w14:textId="77BCFE31" w:rsidR="00A805E2" w:rsidRDefault="00A805E2" w:rsidP="0007508C">
      <w:pPr>
        <w:pStyle w:val="paragraph"/>
        <w:spacing w:before="0" w:beforeAutospacing="0" w:after="160" w:afterAutospacing="0" w:line="259" w:lineRule="auto"/>
        <w:jc w:val="center"/>
        <w:textAlignment w:val="baseline"/>
        <w:rPr>
          <w:rFonts w:ascii="Segoe UI" w:hAnsi="Segoe UI" w:cs="Segoe UI"/>
          <w:sz w:val="18"/>
          <w:szCs w:val="18"/>
        </w:rPr>
      </w:pPr>
      <w:r>
        <w:rPr>
          <w:rStyle w:val="normaltextrun"/>
          <w:rFonts w:ascii="Garamond" w:hAnsi="Garamond" w:cs="Segoe UI"/>
          <w:b/>
          <w:bCs/>
          <w:sz w:val="22"/>
          <w:szCs w:val="22"/>
        </w:rPr>
        <w:t>Investimento 1.4</w:t>
      </w:r>
    </w:p>
    <w:p w14:paraId="037A19FE" w14:textId="28708F52" w:rsidR="00A805E2" w:rsidRDefault="00A805E2" w:rsidP="0007508C">
      <w:pPr>
        <w:pStyle w:val="paragraph"/>
        <w:spacing w:before="0" w:beforeAutospacing="0" w:after="160" w:afterAutospacing="0" w:line="259" w:lineRule="auto"/>
        <w:jc w:val="center"/>
        <w:textAlignment w:val="baseline"/>
        <w:rPr>
          <w:rFonts w:ascii="Segoe UI" w:hAnsi="Segoe UI" w:cs="Segoe UI"/>
          <w:sz w:val="18"/>
          <w:szCs w:val="18"/>
        </w:rPr>
      </w:pPr>
      <w:r>
        <w:rPr>
          <w:rStyle w:val="normaltextrun"/>
          <w:rFonts w:ascii="Garamond" w:hAnsi="Garamond" w:cs="Segoe UI"/>
          <w:b/>
          <w:bCs/>
          <w:sz w:val="22"/>
          <w:szCs w:val="22"/>
        </w:rPr>
        <w:t>ACCORDO AI SENSI DELL’ART. 5, COMMA 6 DEL D. LGS. 50/2016 PER LA REALIZZAZIONE</w:t>
      </w:r>
    </w:p>
    <w:p w14:paraId="7E43C5B7" w14:textId="3C9F2BE5" w:rsidR="00A805E2" w:rsidRDefault="00A805E2" w:rsidP="0007508C">
      <w:pPr>
        <w:pStyle w:val="paragraph"/>
        <w:spacing w:before="0" w:beforeAutospacing="0" w:after="160" w:afterAutospacing="0" w:line="259" w:lineRule="auto"/>
        <w:jc w:val="center"/>
        <w:textAlignment w:val="baseline"/>
        <w:rPr>
          <w:rFonts w:ascii="Segoe UI" w:hAnsi="Segoe UI" w:cs="Segoe UI"/>
          <w:sz w:val="18"/>
          <w:szCs w:val="18"/>
        </w:rPr>
      </w:pPr>
      <w:r>
        <w:rPr>
          <w:rStyle w:val="normaltextrun"/>
          <w:rFonts w:ascii="Garamond" w:hAnsi="Garamond" w:cs="Segoe UI"/>
          <w:b/>
          <w:bCs/>
          <w:sz w:val="22"/>
          <w:szCs w:val="22"/>
        </w:rPr>
        <w:t>Dell' Investimento 1.4 “Sistema Duale</w:t>
      </w:r>
      <w:r>
        <w:rPr>
          <w:rStyle w:val="normaltextrun"/>
          <w:rFonts w:ascii="Garamond" w:hAnsi="Garamond" w:cs="Segoe UI"/>
          <w:sz w:val="22"/>
          <w:szCs w:val="22"/>
        </w:rPr>
        <w:t>”</w:t>
      </w:r>
      <w:r>
        <w:rPr>
          <w:rStyle w:val="normaltextrun"/>
          <w:rFonts w:ascii="Garamond" w:hAnsi="Garamond" w:cs="Segoe UI"/>
          <w:b/>
          <w:bCs/>
          <w:sz w:val="22"/>
          <w:szCs w:val="22"/>
        </w:rPr>
        <w:t xml:space="preserve"> del Piano Nazionale di Ripresa e Resilienza (PNRR)</w:t>
      </w:r>
    </w:p>
    <w:p w14:paraId="4DF56AA3" w14:textId="77777777" w:rsidR="00A805E2" w:rsidRPr="00CD1AEC" w:rsidRDefault="00A805E2" w:rsidP="00B75623">
      <w:pPr>
        <w:jc w:val="center"/>
        <w:rPr>
          <w:rFonts w:ascii="Garamond" w:hAnsi="Garamond"/>
          <w:b/>
          <w:bCs/>
          <w:strike/>
          <w:highlight w:val="yellow"/>
        </w:rPr>
      </w:pPr>
    </w:p>
    <w:p w14:paraId="5A31D3A3" w14:textId="2364A0C9" w:rsidR="008F715D" w:rsidRDefault="008F715D" w:rsidP="0007508C">
      <w:pPr>
        <w:pStyle w:val="Corpotesto"/>
        <w:spacing w:after="160" w:line="259" w:lineRule="auto"/>
        <w:ind w:left="0"/>
        <w:jc w:val="center"/>
        <w:rPr>
          <w:bCs/>
          <w:sz w:val="22"/>
          <w:szCs w:val="22"/>
        </w:rPr>
      </w:pPr>
      <w:r w:rsidRPr="000C3897">
        <w:rPr>
          <w:bCs/>
          <w:sz w:val="22"/>
          <w:szCs w:val="22"/>
        </w:rPr>
        <w:t>TRA</w:t>
      </w:r>
    </w:p>
    <w:p w14:paraId="6678F497" w14:textId="77777777" w:rsidR="00C96DD7" w:rsidRPr="0077142B" w:rsidRDefault="00C96DD7" w:rsidP="0007508C">
      <w:pPr>
        <w:pStyle w:val="Corpotesto"/>
        <w:spacing w:after="160" w:line="259" w:lineRule="auto"/>
        <w:ind w:left="0"/>
        <w:jc w:val="center"/>
        <w:rPr>
          <w:bCs/>
          <w:sz w:val="22"/>
          <w:szCs w:val="22"/>
        </w:rPr>
      </w:pPr>
    </w:p>
    <w:p w14:paraId="0B66EB62" w14:textId="77777777" w:rsidR="003022A0" w:rsidRPr="0077142B" w:rsidRDefault="003022A0" w:rsidP="00B75623">
      <w:pPr>
        <w:jc w:val="both"/>
        <w:rPr>
          <w:rFonts w:ascii="Garamond" w:hAnsi="Garamond"/>
        </w:rPr>
      </w:pPr>
      <w:r w:rsidRPr="05C5609D">
        <w:rPr>
          <w:rFonts w:ascii="Garamond" w:hAnsi="Garamond"/>
        </w:rPr>
        <w:t>L’Unità di Missione per l’attuazione degli interventi PNRR, presso il Ministero del lavoro e delle politiche sociali (C.F 80237250586) rappresentata dal Direttore generale Marianna D’Angelo, con sede legale in Roma, in Via Veneto n. 56 (di seguito “Amministrazione centrale titolare di interventi PNRR”)</w:t>
      </w:r>
    </w:p>
    <w:p w14:paraId="6A815366" w14:textId="77777777" w:rsidR="00DB6020" w:rsidRPr="0077142B" w:rsidRDefault="00DB6020" w:rsidP="00B75623">
      <w:pPr>
        <w:jc w:val="both"/>
        <w:rPr>
          <w:rFonts w:ascii="Garamond" w:hAnsi="Garamond"/>
        </w:rPr>
      </w:pPr>
    </w:p>
    <w:p w14:paraId="2A0233D2" w14:textId="77777777" w:rsidR="00DB6020" w:rsidRPr="0077142B" w:rsidRDefault="00DB6020" w:rsidP="001178EF">
      <w:pPr>
        <w:jc w:val="center"/>
        <w:rPr>
          <w:rFonts w:ascii="Garamond" w:hAnsi="Garamond"/>
        </w:rPr>
      </w:pPr>
      <w:r w:rsidRPr="0077142B">
        <w:rPr>
          <w:rFonts w:ascii="Garamond" w:hAnsi="Garamond"/>
        </w:rPr>
        <w:t>E</w:t>
      </w:r>
    </w:p>
    <w:p w14:paraId="17347E7F" w14:textId="4163D1C0" w:rsidR="00C27784" w:rsidRDefault="00C27784" w:rsidP="001178EF">
      <w:pPr>
        <w:jc w:val="both"/>
        <w:rPr>
          <w:rFonts w:ascii="Garamond" w:hAnsi="Garamond"/>
        </w:rPr>
      </w:pPr>
      <w:r>
        <w:rPr>
          <w:rStyle w:val="normaltextrun"/>
          <w:rFonts w:ascii="Garamond" w:hAnsi="Garamond"/>
          <w:color w:val="000000"/>
          <w:shd w:val="clear" w:color="auto" w:fill="FFFFFF"/>
        </w:rPr>
        <w:t xml:space="preserve">La Direzione Generale delle Politiche Attive del lavoro del Ministero del Lavoro e delle Politiche Sociali, rappresentata </w:t>
      </w:r>
      <w:r w:rsidR="000B6F47">
        <w:rPr>
          <w:rStyle w:val="normaltextrun"/>
          <w:rFonts w:ascii="Garamond" w:hAnsi="Garamond"/>
          <w:color w:val="000000"/>
          <w:shd w:val="clear" w:color="auto" w:fill="FFFFFF"/>
        </w:rPr>
        <w:t xml:space="preserve">dal Direttore generale </w:t>
      </w:r>
      <w:r w:rsidR="003D5BC0">
        <w:rPr>
          <w:rStyle w:val="normaltextrun"/>
          <w:rFonts w:ascii="Garamond" w:hAnsi="Garamond"/>
          <w:color w:val="000000"/>
          <w:shd w:val="clear" w:color="auto" w:fill="FFFFFF"/>
        </w:rPr>
        <w:t xml:space="preserve">dott.ssa </w:t>
      </w:r>
      <w:r>
        <w:rPr>
          <w:rStyle w:val="normaltextrun"/>
          <w:rFonts w:ascii="Garamond" w:hAnsi="Garamond"/>
          <w:color w:val="000000"/>
          <w:shd w:val="clear" w:color="auto" w:fill="FFFFFF"/>
        </w:rPr>
        <w:t>Anita Pisarro, con sede legale in Roma, Via Flavia 6, (di seguito “DG Politiche Attive”)</w:t>
      </w:r>
      <w:r>
        <w:rPr>
          <w:rStyle w:val="eop"/>
          <w:rFonts w:ascii="Garamond" w:hAnsi="Garamond"/>
          <w:color w:val="000000"/>
          <w:shd w:val="clear" w:color="auto" w:fill="FFFFFF"/>
        </w:rPr>
        <w:t> </w:t>
      </w:r>
    </w:p>
    <w:p w14:paraId="684FBF9C" w14:textId="5C8C8E1B" w:rsidR="00B063B8" w:rsidRPr="0077142B" w:rsidRDefault="00B063B8" w:rsidP="001178EF">
      <w:pPr>
        <w:jc w:val="center"/>
        <w:rPr>
          <w:rFonts w:ascii="Garamond" w:hAnsi="Garamond"/>
        </w:rPr>
      </w:pPr>
      <w:r w:rsidRPr="0077142B">
        <w:rPr>
          <w:rFonts w:ascii="Garamond" w:hAnsi="Garamond"/>
        </w:rPr>
        <w:t>E</w:t>
      </w:r>
    </w:p>
    <w:p w14:paraId="66600A9A" w14:textId="191C1150" w:rsidR="00753FFF" w:rsidRDefault="001E72D1" w:rsidP="00390FE3">
      <w:pPr>
        <w:jc w:val="both"/>
        <w:rPr>
          <w:rFonts w:ascii="Garamond" w:hAnsi="Garamond"/>
        </w:rPr>
      </w:pPr>
      <w:r w:rsidRPr="001E72D1">
        <w:rPr>
          <w:rFonts w:ascii="Garamond" w:hAnsi="Garamond"/>
        </w:rPr>
        <w:t xml:space="preserve">L’Amministrazione REGIONE </w:t>
      </w:r>
      <w:r w:rsidR="00F577F8">
        <w:rPr>
          <w:rFonts w:ascii="Garamond" w:hAnsi="Garamond"/>
        </w:rPr>
        <w:t>_______</w:t>
      </w:r>
      <w:r w:rsidRPr="001E72D1">
        <w:rPr>
          <w:rFonts w:ascii="Garamond" w:hAnsi="Garamond"/>
        </w:rPr>
        <w:t xml:space="preserve"> (C.F. </w:t>
      </w:r>
      <w:r w:rsidR="00F577F8">
        <w:rPr>
          <w:rFonts w:ascii="Garamond" w:hAnsi="Garamond"/>
        </w:rPr>
        <w:t>________</w:t>
      </w:r>
      <w:r w:rsidRPr="001E72D1">
        <w:rPr>
          <w:rFonts w:ascii="Garamond" w:hAnsi="Garamond"/>
        </w:rPr>
        <w:t xml:space="preserve">) rappresentata dal </w:t>
      </w:r>
      <w:r w:rsidR="00F577F8">
        <w:rPr>
          <w:rFonts w:ascii="Garamond" w:hAnsi="Garamond"/>
        </w:rPr>
        <w:t>_______________________</w:t>
      </w:r>
      <w:r w:rsidRPr="001E72D1">
        <w:rPr>
          <w:rFonts w:ascii="Garamond" w:hAnsi="Garamond"/>
        </w:rPr>
        <w:t xml:space="preserve"> con sede legale in </w:t>
      </w:r>
      <w:r w:rsidR="00F577F8">
        <w:rPr>
          <w:rFonts w:ascii="Garamond" w:hAnsi="Garamond"/>
        </w:rPr>
        <w:t>____________________</w:t>
      </w:r>
      <w:r w:rsidRPr="001E72D1">
        <w:rPr>
          <w:rFonts w:ascii="Garamond" w:hAnsi="Garamond"/>
        </w:rPr>
        <w:t xml:space="preserve"> (di seguito “Soggetto Attuatore”)</w:t>
      </w:r>
    </w:p>
    <w:p w14:paraId="64D0D7FE" w14:textId="77777777" w:rsidR="00F92C93" w:rsidRDefault="00F92C93" w:rsidP="00390FE3">
      <w:pPr>
        <w:jc w:val="both"/>
        <w:rPr>
          <w:rFonts w:ascii="Garamond" w:hAnsi="Garamond"/>
        </w:rPr>
      </w:pPr>
    </w:p>
    <w:p w14:paraId="7C4F7EEA" w14:textId="7C474856" w:rsidR="00DB6020" w:rsidRPr="0077142B" w:rsidRDefault="00DB6020" w:rsidP="0007508C">
      <w:pPr>
        <w:jc w:val="center"/>
        <w:rPr>
          <w:rFonts w:ascii="Garamond" w:hAnsi="Garamond"/>
        </w:rPr>
      </w:pPr>
      <w:r w:rsidRPr="0077142B">
        <w:rPr>
          <w:rFonts w:ascii="Garamond" w:hAnsi="Garamond"/>
        </w:rPr>
        <w:t>Di seguito indicate anche come “parti”</w:t>
      </w:r>
    </w:p>
    <w:p w14:paraId="10C4DE42" w14:textId="77777777" w:rsidR="00DB6020" w:rsidRPr="0077142B" w:rsidRDefault="00DB6020" w:rsidP="00B75623">
      <w:pPr>
        <w:jc w:val="both"/>
        <w:rPr>
          <w:rFonts w:ascii="Garamond" w:hAnsi="Garamond"/>
        </w:rPr>
      </w:pPr>
    </w:p>
    <w:p w14:paraId="6B8F3834" w14:textId="77777777" w:rsidR="00DB6020" w:rsidRPr="0077142B" w:rsidRDefault="49F161EF" w:rsidP="001178EF">
      <w:pPr>
        <w:jc w:val="both"/>
        <w:rPr>
          <w:rFonts w:ascii="Garamond" w:hAnsi="Garamond"/>
        </w:rPr>
      </w:pPr>
      <w:r w:rsidRPr="55765628">
        <w:rPr>
          <w:rFonts w:ascii="Garamond" w:hAnsi="Garamond"/>
          <w:b/>
          <w:bCs/>
        </w:rPr>
        <w:t>VISTO</w:t>
      </w:r>
      <w:r w:rsidRPr="55765628">
        <w:rPr>
          <w:rFonts w:ascii="Garamond" w:hAnsi="Garamond"/>
        </w:rPr>
        <w:t xml:space="preserve"> il Decreto legislativo 18 aprile 2016 n. 50 ss.mm.ii. recante “Codice dei contratti pubblici”;</w:t>
      </w:r>
    </w:p>
    <w:p w14:paraId="706C25DD" w14:textId="705B94CE" w:rsidR="00DB6020" w:rsidRPr="0077142B" w:rsidRDefault="49F161EF" w:rsidP="001178EF">
      <w:pPr>
        <w:jc w:val="both"/>
        <w:rPr>
          <w:rFonts w:ascii="Garamond" w:hAnsi="Garamond"/>
        </w:rPr>
      </w:pPr>
      <w:r w:rsidRPr="55765628">
        <w:rPr>
          <w:rFonts w:ascii="Garamond" w:hAnsi="Garamond"/>
          <w:b/>
          <w:bCs/>
        </w:rPr>
        <w:t>VISTA</w:t>
      </w:r>
      <w:r w:rsidRPr="55765628">
        <w:rPr>
          <w:rFonts w:ascii="Garamond" w:hAnsi="Garamond"/>
        </w:rPr>
        <w:t xml:space="preserve"> la legge 7 agosto 1990 n. 241 e ss.mm.ii. recante “Nuove norme in materia di procedimento amministrativo e di diritto di accesso ai documenti amministrativi”;</w:t>
      </w:r>
    </w:p>
    <w:p w14:paraId="1FF034B6" w14:textId="7AC9335E" w:rsidR="001E2495" w:rsidRDefault="001E2495" w:rsidP="001178EF">
      <w:pPr>
        <w:jc w:val="both"/>
        <w:rPr>
          <w:rFonts w:ascii="Garamond" w:hAnsi="Garamond"/>
        </w:rPr>
      </w:pPr>
      <w:r w:rsidRPr="0077142B">
        <w:rPr>
          <w:rFonts w:ascii="Garamond" w:hAnsi="Garamond"/>
          <w:b/>
          <w:bCs/>
        </w:rPr>
        <w:t>VISTO</w:t>
      </w:r>
      <w:r w:rsidRPr="0077142B">
        <w:rPr>
          <w:rFonts w:ascii="Garamond" w:hAnsi="Garamond"/>
        </w:rPr>
        <w:t xml:space="preserve"> il Regolamento (UE) 2021/241 del Parlamento europeo e del Consiglio, del 12 febbraio 2021, che istituisce lo strumento di recupero e resilienza (regolamento RRF) con l’obiettivo specifico di fornire agli Stati membri il sostegno finanziario al fine di conseguire le tappe intermedie e gli obiettivi delle riforme e degli investimenti stabiliti nei loro piani di ripresa e resilienza;</w:t>
      </w:r>
    </w:p>
    <w:p w14:paraId="483C1C1C" w14:textId="67C96808" w:rsidR="003A2775" w:rsidRDefault="0050657D" w:rsidP="008B77EF">
      <w:pPr>
        <w:jc w:val="both"/>
        <w:rPr>
          <w:rFonts w:ascii="Garamond" w:hAnsi="Garamond"/>
          <w:i/>
          <w:iCs/>
        </w:rPr>
      </w:pPr>
      <w:r w:rsidRPr="0050657D">
        <w:rPr>
          <w:rFonts w:ascii="Garamond" w:hAnsi="Garamond"/>
          <w:b/>
          <w:bCs/>
        </w:rPr>
        <w:t>VISTO</w:t>
      </w:r>
      <w:r>
        <w:rPr>
          <w:rFonts w:ascii="Garamond" w:hAnsi="Garamond"/>
        </w:rPr>
        <w:t xml:space="preserve"> l’articolo 22 del </w:t>
      </w:r>
      <w:r w:rsidRPr="0077142B">
        <w:rPr>
          <w:rFonts w:ascii="Garamond" w:hAnsi="Garamond"/>
        </w:rPr>
        <w:t>Regolamento (UE) 2021/241 del Parlamento europeo e del Consiglio, del 12 febbraio 2021</w:t>
      </w:r>
      <w:r>
        <w:rPr>
          <w:rFonts w:ascii="Garamond" w:hAnsi="Garamond"/>
        </w:rPr>
        <w:t xml:space="preserve">, che in particolare prevede: </w:t>
      </w:r>
      <w:r w:rsidR="003A2775">
        <w:rPr>
          <w:rFonts w:ascii="Garamond" w:hAnsi="Garamond"/>
        </w:rPr>
        <w:t>“</w:t>
      </w:r>
      <w:r w:rsidR="003A2775" w:rsidRPr="003A2775">
        <w:rPr>
          <w:rFonts w:ascii="Garamond" w:hAnsi="Garamond"/>
          <w:i/>
          <w:iCs/>
        </w:rPr>
        <w:t>Gli accordi di cui all'articolo 15, paragrafo 2, e all'articolo 23, paragrafo 1, contemplano per gli Stati membri i seguenti obblighi</w:t>
      </w:r>
      <w:r w:rsidR="003A2775" w:rsidRPr="003A2775">
        <w:rPr>
          <w:rFonts w:ascii="Garamond" w:hAnsi="Garamond"/>
        </w:rPr>
        <w:t xml:space="preserve">: </w:t>
      </w:r>
      <w:r w:rsidR="003A2775" w:rsidRPr="003A2775">
        <w:rPr>
          <w:rFonts w:ascii="Garamond" w:hAnsi="Garamond"/>
          <w:i/>
          <w:iCs/>
        </w:rPr>
        <w:t>(omissis</w:t>
      </w:r>
      <w:r w:rsidR="003A2775">
        <w:rPr>
          <w:rFonts w:ascii="Garamond" w:hAnsi="Garamond"/>
        </w:rPr>
        <w:t xml:space="preserve">) </w:t>
      </w:r>
      <w:r w:rsidR="003A2775" w:rsidRPr="003A2775">
        <w:rPr>
          <w:rFonts w:ascii="Garamond" w:hAnsi="Garamond"/>
          <w:i/>
          <w:iCs/>
        </w:rPr>
        <w:t>d) 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725ACE7A" w14:textId="64128729" w:rsidR="003A2775" w:rsidRPr="003A2775" w:rsidRDefault="003A2775" w:rsidP="008B77EF">
      <w:pPr>
        <w:pStyle w:val="Paragrafoelenco"/>
        <w:numPr>
          <w:ilvl w:val="0"/>
          <w:numId w:val="3"/>
        </w:numPr>
        <w:jc w:val="both"/>
        <w:rPr>
          <w:rFonts w:ascii="Garamond" w:hAnsi="Garamond"/>
          <w:i/>
          <w:iCs/>
        </w:rPr>
      </w:pPr>
      <w:r w:rsidRPr="003A2775">
        <w:rPr>
          <w:rFonts w:ascii="Garamond" w:hAnsi="Garamond"/>
          <w:i/>
          <w:iCs/>
        </w:rPr>
        <w:t xml:space="preserve">il nome del destinatario finale dei fondi; </w:t>
      </w:r>
    </w:p>
    <w:p w14:paraId="1836713B" w14:textId="3C701DAB" w:rsidR="003A2775" w:rsidRPr="003A2775" w:rsidRDefault="003A2775" w:rsidP="00390FE3">
      <w:pPr>
        <w:pStyle w:val="Paragrafoelenco"/>
        <w:numPr>
          <w:ilvl w:val="0"/>
          <w:numId w:val="3"/>
        </w:numPr>
        <w:jc w:val="both"/>
        <w:rPr>
          <w:rFonts w:ascii="Garamond" w:hAnsi="Garamond"/>
        </w:rPr>
      </w:pPr>
      <w:r w:rsidRPr="003A2775">
        <w:rPr>
          <w:rFonts w:ascii="Garamond" w:hAnsi="Garamond"/>
          <w:i/>
          <w:iCs/>
        </w:rPr>
        <w:t>il nome dell'appaltatore e del subappaltatore, ove il destinatario finale dei fondi sia un'amministrazione aggiudicatrice ai sensi delle disposizioni nazionali o dell'Unione in materia di appalti pubblici;</w:t>
      </w:r>
    </w:p>
    <w:p w14:paraId="3E81AC8F" w14:textId="205C515F" w:rsidR="003A2775" w:rsidRPr="003A2775" w:rsidRDefault="003A2775" w:rsidP="003C1AC7">
      <w:pPr>
        <w:pStyle w:val="Paragrafoelenco"/>
        <w:numPr>
          <w:ilvl w:val="0"/>
          <w:numId w:val="3"/>
        </w:numPr>
        <w:jc w:val="both"/>
        <w:rPr>
          <w:rFonts w:ascii="Garamond" w:hAnsi="Garamond"/>
        </w:rPr>
      </w:pPr>
      <w:r w:rsidRPr="003A2775">
        <w:rPr>
          <w:rFonts w:ascii="Garamond" w:hAnsi="Garamond"/>
          <w:i/>
          <w:iCs/>
        </w:rPr>
        <w:t>il/i</w:t>
      </w:r>
      <w:r w:rsidR="007A3CC6">
        <w:rPr>
          <w:rFonts w:ascii="Garamond" w:hAnsi="Garamond"/>
          <w:i/>
          <w:iCs/>
        </w:rPr>
        <w:t xml:space="preserve"> </w:t>
      </w:r>
      <w:r w:rsidRPr="003A2775">
        <w:rPr>
          <w:rFonts w:ascii="Garamond" w:hAnsi="Garamond"/>
          <w:i/>
          <w:iCs/>
        </w:rPr>
        <w:t>nome/i,il/i</w:t>
      </w:r>
      <w:r w:rsidR="007A3CC6">
        <w:rPr>
          <w:rFonts w:ascii="Garamond" w:hAnsi="Garamond"/>
          <w:i/>
          <w:iCs/>
        </w:rPr>
        <w:t xml:space="preserve"> </w:t>
      </w:r>
      <w:r w:rsidRPr="003A2775">
        <w:rPr>
          <w:rFonts w:ascii="Garamond" w:hAnsi="Garamond"/>
          <w:i/>
          <w:iCs/>
        </w:rPr>
        <w:t>cognome/i e la data di nascita del/dei titolare/i effettivo/i del destinatario dei fondi o appaltatore, ai sensi dell'articolo 3, punto 6, della direttiva (UE) 2015/849 del Parlamento europeo e del Consiglio (26);</w:t>
      </w:r>
    </w:p>
    <w:p w14:paraId="3BD4784E" w14:textId="5C05B587" w:rsidR="003A2775" w:rsidRPr="003A2775" w:rsidRDefault="003A2775" w:rsidP="00F267A7">
      <w:pPr>
        <w:pStyle w:val="Paragrafoelenco"/>
        <w:numPr>
          <w:ilvl w:val="0"/>
          <w:numId w:val="3"/>
        </w:numPr>
        <w:jc w:val="both"/>
        <w:rPr>
          <w:rFonts w:ascii="Garamond" w:hAnsi="Garamond"/>
        </w:rPr>
      </w:pPr>
      <w:r w:rsidRPr="003A2775">
        <w:rPr>
          <w:rFonts w:ascii="Garamond" w:hAnsi="Garamond"/>
          <w:i/>
          <w:iCs/>
        </w:rPr>
        <w:t xml:space="preserve">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 </w:t>
      </w:r>
    </w:p>
    <w:p w14:paraId="51241F0A" w14:textId="466DE32E" w:rsidR="003A2775" w:rsidRDefault="003A2775" w:rsidP="00F267A7">
      <w:pPr>
        <w:ind w:left="53"/>
        <w:jc w:val="both"/>
        <w:rPr>
          <w:rFonts w:ascii="Garamond" w:hAnsi="Garamond"/>
          <w:i/>
          <w:iCs/>
        </w:rPr>
      </w:pPr>
      <w:r w:rsidRPr="003A2775">
        <w:rPr>
          <w:rFonts w:ascii="Garamond" w:hAnsi="Garamond"/>
          <w:i/>
          <w:iCs/>
        </w:rPr>
        <w:t xml:space="preserve">f) conservare i dati conformemente all'articolo 132 del regolamento finanziario. </w:t>
      </w:r>
    </w:p>
    <w:p w14:paraId="13C49244" w14:textId="57F757FF" w:rsidR="0050657D" w:rsidRPr="003A2775" w:rsidRDefault="003A2775" w:rsidP="00F71470">
      <w:pPr>
        <w:ind w:left="53"/>
        <w:jc w:val="both"/>
        <w:rPr>
          <w:rFonts w:ascii="Garamond" w:hAnsi="Garamond"/>
        </w:rPr>
      </w:pPr>
      <w:r w:rsidRPr="003A2775">
        <w:rPr>
          <w:rFonts w:ascii="Garamond" w:hAnsi="Garamond"/>
          <w:i/>
          <w:iCs/>
        </w:rPr>
        <w:t xml:space="preserve"> 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w:t>
      </w:r>
    </w:p>
    <w:p w14:paraId="4E4B837E" w14:textId="30855318" w:rsidR="001E2495" w:rsidRPr="0077142B" w:rsidRDefault="001E2495" w:rsidP="00F71470">
      <w:pPr>
        <w:jc w:val="both"/>
        <w:rPr>
          <w:rFonts w:ascii="Garamond" w:hAnsi="Garamond"/>
        </w:rPr>
      </w:pPr>
      <w:r w:rsidRPr="0077142B">
        <w:rPr>
          <w:rFonts w:ascii="Garamond" w:hAnsi="Garamond"/>
          <w:b/>
          <w:bCs/>
        </w:rPr>
        <w:t>VISTO</w:t>
      </w:r>
      <w:r w:rsidRPr="0077142B">
        <w:rPr>
          <w:rFonts w:ascii="Garamond" w:hAnsi="Garamond"/>
        </w:rPr>
        <w:t xml:space="preserve"> il decreto-legge 6 maggio 2021, n. 59, </w:t>
      </w:r>
      <w:r w:rsidR="00305D94">
        <w:rPr>
          <w:rFonts w:ascii="Garamond" w:hAnsi="Garamond"/>
        </w:rPr>
        <w:t xml:space="preserve">convertito, con modificazioni, dalla legge 1° luglio 2021, n. 101, </w:t>
      </w:r>
      <w:r w:rsidRPr="0077142B">
        <w:rPr>
          <w:rFonts w:ascii="Garamond" w:hAnsi="Garamond"/>
        </w:rPr>
        <w:t>recante “Misure urgenti relative al Fondo complementare al Piano nazionale di ripresa e resilienza e altre misure urgenti per gli investimenti”;</w:t>
      </w:r>
    </w:p>
    <w:p w14:paraId="420050D0" w14:textId="3953AF32" w:rsidR="001E2495" w:rsidRDefault="001E2495" w:rsidP="00F952CD">
      <w:pPr>
        <w:jc w:val="both"/>
        <w:rPr>
          <w:rFonts w:ascii="Garamond" w:hAnsi="Garamond"/>
        </w:rPr>
      </w:pPr>
      <w:r w:rsidRPr="0077142B">
        <w:rPr>
          <w:rFonts w:ascii="Garamond" w:hAnsi="Garamond"/>
          <w:b/>
          <w:bCs/>
        </w:rPr>
        <w:t>VISTO</w:t>
      </w:r>
      <w:r w:rsidRPr="0077142B">
        <w:rPr>
          <w:rFonts w:ascii="Garamond" w:hAnsi="Garamond"/>
        </w:rPr>
        <w:t xml:space="preserve"> il “Piano Nazionale di Ripresa e Resilienza” (di seguito anche “PNRR” o “Piano”) presentato alla Commissione in data 30 giugno 2021 e valutato positivamente con Decisione del Consiglio ECOFIN del 13 luglio 2021 e notificata all’Italia dal Segretariato generale del Consiglio con nota LT161/21, del 14 luglio 2021;</w:t>
      </w:r>
    </w:p>
    <w:p w14:paraId="429C65C5" w14:textId="07F0E6DB" w:rsidR="001E2495" w:rsidRPr="0077142B" w:rsidRDefault="51DDAE72" w:rsidP="00C36DB7">
      <w:pPr>
        <w:jc w:val="both"/>
        <w:rPr>
          <w:rFonts w:ascii="Garamond" w:hAnsi="Garamond"/>
        </w:rPr>
      </w:pPr>
      <w:r w:rsidRPr="55765628">
        <w:rPr>
          <w:rFonts w:ascii="Garamond" w:hAnsi="Garamond"/>
          <w:b/>
          <w:bCs/>
        </w:rPr>
        <w:t>VISTI</w:t>
      </w:r>
      <w:r w:rsidRPr="55765628">
        <w:rPr>
          <w:rFonts w:ascii="Garamond" w:hAnsi="Garamond"/>
        </w:rPr>
        <w:t xml:space="preserve"> gli Operational Arrangements (OA) relativi al Piano Nazionale di Ripresa e Resilienza dell’Italia sottoscritti in data 22 dicembre 2021;</w:t>
      </w:r>
    </w:p>
    <w:p w14:paraId="5B61603E" w14:textId="1BA2AFE5" w:rsidR="00490229" w:rsidRPr="0077142B" w:rsidRDefault="00490229" w:rsidP="008F7623">
      <w:pPr>
        <w:jc w:val="both"/>
        <w:rPr>
          <w:rFonts w:ascii="Garamond" w:hAnsi="Garamond"/>
        </w:rPr>
      </w:pPr>
      <w:r w:rsidRPr="0077142B">
        <w:rPr>
          <w:rFonts w:ascii="Garamond" w:hAnsi="Garamond"/>
          <w:b/>
          <w:bCs/>
        </w:rPr>
        <w:t>VISTO</w:t>
      </w:r>
      <w:r w:rsidRPr="0077142B">
        <w:rPr>
          <w:rFonts w:ascii="Garamond" w:hAnsi="Garamond"/>
        </w:rPr>
        <w:t xml:space="preserve"> il Decreto Legge del 31 maggio 2021, n. 77 convertito con modificazioni dalla legge di conversione del 29 luglio 2021, n. 108, recante: «Governance del Piano nazionale di ripresa e resilienza e prime misure di rafforzamento delle strutture amministrative e di accelerazione e snellimento delle procedure» e nello specifico, l’articolo 8, del suddetto decreto-legge n. 31 maggio 2021, n. 77, ai sensi del quale ciascuna Amministrazione centrale titolare di interventi PNRR provvede al coordinamento delle relative attività di gestione, nonché al loro monitoraggio, rendicontazione e controllo;</w:t>
      </w:r>
    </w:p>
    <w:p w14:paraId="276D8BBA" w14:textId="3E680B69" w:rsidR="00490229" w:rsidRDefault="00490229">
      <w:pPr>
        <w:jc w:val="both"/>
        <w:rPr>
          <w:rFonts w:ascii="Garamond" w:hAnsi="Garamond"/>
        </w:rPr>
      </w:pPr>
      <w:r w:rsidRPr="0077142B">
        <w:rPr>
          <w:rFonts w:ascii="Garamond" w:hAnsi="Garamond"/>
          <w:b/>
          <w:bCs/>
        </w:rPr>
        <w:t>VISTO</w:t>
      </w:r>
      <w:r w:rsidRPr="0077142B">
        <w:rPr>
          <w:rFonts w:ascii="Garamond" w:hAnsi="Garamond"/>
        </w:rPr>
        <w:t xml:space="preserve"> il Decreto del Ministro del Lavoro e delle Politiche Sociali di concerto con il Ministro dell’Economia e delle Finanze, del 11/10/2021 concernente l’istituzione dell’Unità di Missione dell’Amministrazione centrale titolare di interventi PNRR, ai sensi dell’articolo 8 del citato Decreto-legge del 31 maggio 2021, n. 77, convertito con modificazioni dalla legge 29 luglio 2021, n. 108;</w:t>
      </w:r>
    </w:p>
    <w:p w14:paraId="3565B61E" w14:textId="319022DC" w:rsidR="001245DE" w:rsidRDefault="001245DE" w:rsidP="0007508C">
      <w:pPr>
        <w:jc w:val="both"/>
        <w:rPr>
          <w:rFonts w:ascii="Garamond" w:hAnsi="Garamond"/>
        </w:rPr>
      </w:pPr>
      <w:r w:rsidRPr="567E1E70">
        <w:rPr>
          <w:rFonts w:ascii="Garamond" w:hAnsi="Garamond"/>
          <w:b/>
          <w:bCs/>
        </w:rPr>
        <w:t>VISTA</w:t>
      </w:r>
      <w:r w:rsidRPr="567E1E70">
        <w:rPr>
          <w:rFonts w:ascii="Garamond" w:hAnsi="Garamond"/>
        </w:rPr>
        <w:t xml:space="preserve"> la Missione 5 – Componente 1 – Investimento 1.4 “Sistema Duale” inclusa nel Piano nazionale di ripresa e resilienza, del costo complessivo di euro 600.000.000,00 per il periodo 2021 – 2025 che si pone l’obiettivo di migliorare l'accesso al mondo del lavoro per i giovani e gli adulti senza diploma, attraverso l'incremento della partecipazione all'educazione formale e a quella professionale, nonché alla formazione attraverso il sistema duale, che include anche l'apprendistato;</w:t>
      </w:r>
    </w:p>
    <w:p w14:paraId="4759EF25" w14:textId="18926C58" w:rsidR="00BE1635" w:rsidRDefault="00BE1635" w:rsidP="0007508C">
      <w:pPr>
        <w:jc w:val="both"/>
        <w:rPr>
          <w:rFonts w:ascii="Garamond" w:hAnsi="Garamond"/>
        </w:rPr>
      </w:pPr>
      <w:r w:rsidRPr="00BE1635">
        <w:rPr>
          <w:rFonts w:ascii="Garamond" w:hAnsi="Garamond"/>
          <w:b/>
          <w:bCs/>
        </w:rPr>
        <w:t>VISTO</w:t>
      </w:r>
      <w:r>
        <w:rPr>
          <w:rFonts w:ascii="Garamond" w:hAnsi="Garamond"/>
        </w:rPr>
        <w:t xml:space="preserve"> il Decreto </w:t>
      </w:r>
      <w:r w:rsidR="00E83448" w:rsidRPr="0077142B">
        <w:rPr>
          <w:rFonts w:ascii="Garamond" w:hAnsi="Garamond"/>
        </w:rPr>
        <w:t xml:space="preserve">del Ministro del Lavoro e delle Politiche Sociali </w:t>
      </w:r>
      <w:r>
        <w:rPr>
          <w:rFonts w:ascii="Garamond" w:hAnsi="Garamond"/>
        </w:rPr>
        <w:t xml:space="preserve">14 dicembre 2021 di adozione del Piano nazionale nuove competenze pubblicato in Gazzetta </w:t>
      </w:r>
      <w:r w:rsidR="004B71C2">
        <w:rPr>
          <w:rFonts w:ascii="Garamond" w:hAnsi="Garamond"/>
        </w:rPr>
        <w:t>U</w:t>
      </w:r>
      <w:r>
        <w:rPr>
          <w:rFonts w:ascii="Garamond" w:hAnsi="Garamond"/>
        </w:rPr>
        <w:t>fficiale Serie Generale n.</w:t>
      </w:r>
      <w:r w:rsidR="004B71C2">
        <w:rPr>
          <w:rFonts w:ascii="Garamond" w:hAnsi="Garamond"/>
        </w:rPr>
        <w:t xml:space="preserve"> </w:t>
      </w:r>
      <w:r>
        <w:rPr>
          <w:rFonts w:ascii="Garamond" w:hAnsi="Garamond"/>
        </w:rPr>
        <w:t>307 del 28</w:t>
      </w:r>
      <w:r w:rsidR="007D63AE">
        <w:rPr>
          <w:rFonts w:ascii="Garamond" w:hAnsi="Garamond"/>
        </w:rPr>
        <w:t>.</w:t>
      </w:r>
      <w:r>
        <w:rPr>
          <w:rFonts w:ascii="Garamond" w:hAnsi="Garamond"/>
        </w:rPr>
        <w:t>12</w:t>
      </w:r>
      <w:r w:rsidR="007D63AE">
        <w:rPr>
          <w:rFonts w:ascii="Garamond" w:hAnsi="Garamond"/>
        </w:rPr>
        <w:t>.</w:t>
      </w:r>
      <w:r>
        <w:rPr>
          <w:rFonts w:ascii="Garamond" w:hAnsi="Garamond"/>
        </w:rPr>
        <w:t>2021;</w:t>
      </w:r>
    </w:p>
    <w:p w14:paraId="4EC92479" w14:textId="5A6EE353" w:rsidR="001245DE" w:rsidRDefault="001245DE" w:rsidP="0007508C">
      <w:pPr>
        <w:jc w:val="both"/>
        <w:rPr>
          <w:rFonts w:ascii="Titillium Web" w:eastAsia="Titillium Web" w:hAnsi="Titillium Web" w:cs="Titillium Web"/>
          <w:color w:val="1C2024"/>
          <w:sz w:val="27"/>
          <w:szCs w:val="27"/>
        </w:rPr>
      </w:pPr>
      <w:r w:rsidRPr="567E1E70">
        <w:rPr>
          <w:rFonts w:ascii="Garamond" w:hAnsi="Garamond"/>
          <w:b/>
          <w:bCs/>
        </w:rPr>
        <w:t>VISTA</w:t>
      </w:r>
      <w:r w:rsidRPr="567E1E70">
        <w:rPr>
          <w:rFonts w:ascii="Garamond" w:hAnsi="Garamond"/>
        </w:rPr>
        <w:t xml:space="preserve"> la Circolare n. 12 del 6 giugno 2022 sul </w:t>
      </w:r>
      <w:r w:rsidR="005A24FE">
        <w:rPr>
          <w:rFonts w:ascii="Garamond" w:hAnsi="Garamond"/>
        </w:rPr>
        <w:t>C</w:t>
      </w:r>
      <w:r w:rsidRPr="567E1E70">
        <w:rPr>
          <w:rFonts w:ascii="Garamond" w:hAnsi="Garamond"/>
        </w:rPr>
        <w:t>ontratto di apprendistato di primo livello, ai sensi dell'articolo 43 del Decreto legislativo 15 giugno 2015, n. 81, e del Decreto interministeriale 12 ottobre 2015;</w:t>
      </w:r>
    </w:p>
    <w:p w14:paraId="482F7FC3" w14:textId="4B42B2A4" w:rsidR="001245DE" w:rsidRDefault="001245DE" w:rsidP="0007508C">
      <w:pPr>
        <w:jc w:val="both"/>
        <w:rPr>
          <w:rFonts w:ascii="Garamond" w:hAnsi="Garamond"/>
        </w:rPr>
      </w:pPr>
      <w:r w:rsidRPr="567E1E70">
        <w:rPr>
          <w:rFonts w:ascii="Garamond" w:hAnsi="Garamond"/>
          <w:b/>
          <w:bCs/>
        </w:rPr>
        <w:t>VISTO</w:t>
      </w:r>
      <w:r w:rsidRPr="567E1E70">
        <w:rPr>
          <w:rFonts w:ascii="Garamond" w:hAnsi="Garamond"/>
        </w:rPr>
        <w:t xml:space="preserve"> il </w:t>
      </w:r>
      <w:r w:rsidR="00AD1A50">
        <w:rPr>
          <w:rFonts w:ascii="Garamond" w:hAnsi="Garamond"/>
        </w:rPr>
        <w:t xml:space="preserve">Decreto </w:t>
      </w:r>
      <w:r w:rsidR="00B75623">
        <w:rPr>
          <w:rFonts w:ascii="Garamond" w:hAnsi="Garamond"/>
        </w:rPr>
        <w:t>Direttoriale</w:t>
      </w:r>
      <w:r w:rsidR="00AD1A50" w:rsidRPr="567E1E70">
        <w:rPr>
          <w:rFonts w:ascii="Garamond" w:hAnsi="Garamond"/>
        </w:rPr>
        <w:t xml:space="preserve"> </w:t>
      </w:r>
      <w:r w:rsidRPr="567E1E70">
        <w:rPr>
          <w:rFonts w:ascii="Garamond" w:hAnsi="Garamond"/>
        </w:rPr>
        <w:t>n.</w:t>
      </w:r>
      <w:r w:rsidR="005A24FE">
        <w:rPr>
          <w:rFonts w:ascii="Garamond" w:hAnsi="Garamond"/>
        </w:rPr>
        <w:t xml:space="preserve"> </w:t>
      </w:r>
      <w:r w:rsidRPr="567E1E70">
        <w:rPr>
          <w:rFonts w:ascii="Garamond" w:hAnsi="Garamond"/>
        </w:rPr>
        <w:t>16 del 14 aprile 2022 sul Riparto delle risorse per il finanziamento dei percorsi finalizzati all’assolvimento del diritto-dovere all’istruzione e formazione professionale;</w:t>
      </w:r>
    </w:p>
    <w:p w14:paraId="3665AEAE" w14:textId="58CC1E3C" w:rsidR="001245DE" w:rsidRDefault="001245DE" w:rsidP="0007508C">
      <w:pPr>
        <w:jc w:val="both"/>
        <w:rPr>
          <w:rFonts w:ascii="Garamond" w:hAnsi="Garamond"/>
        </w:rPr>
      </w:pPr>
      <w:r w:rsidRPr="567E1E70">
        <w:rPr>
          <w:rFonts w:ascii="Garamond" w:hAnsi="Garamond"/>
          <w:b/>
          <w:bCs/>
        </w:rPr>
        <w:t>VISTO</w:t>
      </w:r>
      <w:r w:rsidRPr="567E1E70">
        <w:rPr>
          <w:rFonts w:ascii="Garamond" w:hAnsi="Garamond"/>
        </w:rPr>
        <w:t xml:space="preserve"> il </w:t>
      </w:r>
      <w:r w:rsidR="00AD1A50">
        <w:rPr>
          <w:rFonts w:ascii="Garamond" w:hAnsi="Garamond"/>
        </w:rPr>
        <w:t xml:space="preserve">Decreto </w:t>
      </w:r>
      <w:r w:rsidR="00B75623">
        <w:rPr>
          <w:rFonts w:ascii="Garamond" w:hAnsi="Garamond"/>
        </w:rPr>
        <w:t>Direttoriale</w:t>
      </w:r>
      <w:r w:rsidR="00AD1A50" w:rsidRPr="567E1E70">
        <w:rPr>
          <w:rFonts w:ascii="Garamond" w:hAnsi="Garamond"/>
        </w:rPr>
        <w:t xml:space="preserve"> </w:t>
      </w:r>
      <w:r w:rsidRPr="567E1E70">
        <w:rPr>
          <w:rFonts w:ascii="Garamond" w:hAnsi="Garamond"/>
        </w:rPr>
        <w:t>n. 15 del 14 aprile 2022 sul Finanziamento dei percorsi formativi rivolti all’apprendistato per la qualifica e il diploma professionale, il diploma di istruzione secondaria superiore e il certificato di specializzazione tecnica superiore e dei percorsi per le competenze trasversali e per l’orientamento;</w:t>
      </w:r>
    </w:p>
    <w:p w14:paraId="7A63F55C" w14:textId="733AEA7E" w:rsidR="00AD1A50" w:rsidRDefault="0037302B" w:rsidP="0007508C">
      <w:pPr>
        <w:jc w:val="both"/>
        <w:rPr>
          <w:rFonts w:ascii="Garamond" w:hAnsi="Garamond"/>
        </w:rPr>
      </w:pPr>
      <w:r w:rsidRPr="00A014DA">
        <w:rPr>
          <w:rFonts w:ascii="Garamond" w:hAnsi="Garamond"/>
          <w:b/>
          <w:bCs/>
        </w:rPr>
        <w:t>VISTE</w:t>
      </w:r>
      <w:r w:rsidRPr="00A014DA">
        <w:rPr>
          <w:rFonts w:ascii="Garamond" w:hAnsi="Garamond"/>
        </w:rPr>
        <w:t xml:space="preserve"> </w:t>
      </w:r>
      <w:r w:rsidR="00F77273" w:rsidRPr="008B57BA">
        <w:rPr>
          <w:rFonts w:ascii="Garamond" w:hAnsi="Garamond"/>
        </w:rPr>
        <w:t>le Linee guida per la programmazione e attuazione dei percorsi di istruzione e formazione professionale (Iefp) e di istruzione e formazione tecnica superiore (Ifts) in modalità duale</w:t>
      </w:r>
      <w:bookmarkStart w:id="0" w:name="_Hlk114220451"/>
      <w:r w:rsidR="00F76A5E">
        <w:rPr>
          <w:rFonts w:ascii="Garamond" w:hAnsi="Garamond"/>
        </w:rPr>
        <w:t>,</w:t>
      </w:r>
      <w:r w:rsidRPr="00A014DA">
        <w:rPr>
          <w:rFonts w:ascii="Garamond" w:hAnsi="Garamond"/>
        </w:rPr>
        <w:t xml:space="preserve"> adottate con Decreto n. 139 del 2 agosto 2022, in recepimento dell'Accordo in sede di Conferenza Stato </w:t>
      </w:r>
      <w:r>
        <w:rPr>
          <w:rFonts w:ascii="Garamond" w:hAnsi="Garamond"/>
        </w:rPr>
        <w:t>R</w:t>
      </w:r>
      <w:r w:rsidRPr="00A014DA">
        <w:rPr>
          <w:rFonts w:ascii="Garamond" w:hAnsi="Garamond"/>
        </w:rPr>
        <w:t>egioni del 27 luglio 2022</w:t>
      </w:r>
      <w:bookmarkEnd w:id="0"/>
      <w:r w:rsidR="00F77273" w:rsidRPr="00F77273">
        <w:rPr>
          <w:rFonts w:ascii="Garamond" w:hAnsi="Garamond"/>
        </w:rPr>
        <w:t xml:space="preserve"> </w:t>
      </w:r>
      <w:r w:rsidR="00F77273" w:rsidRPr="008B57BA">
        <w:rPr>
          <w:rFonts w:ascii="Garamond" w:hAnsi="Garamond"/>
        </w:rPr>
        <w:t xml:space="preserve">pubblicate su GU </w:t>
      </w:r>
      <w:r w:rsidR="00F77273" w:rsidRPr="00E83448">
        <w:rPr>
          <w:rFonts w:ascii="Garamond" w:hAnsi="Garamond"/>
        </w:rPr>
        <w:t>Serie Generale 219 del 19 settembre 2022</w:t>
      </w:r>
      <w:r w:rsidR="003E0B64" w:rsidRPr="00E83448">
        <w:rPr>
          <w:rFonts w:ascii="Garamond" w:hAnsi="Garamond"/>
        </w:rPr>
        <w:t xml:space="preserve"> e successive </w:t>
      </w:r>
      <w:r w:rsidR="00E83448" w:rsidRPr="00E83448">
        <w:rPr>
          <w:rFonts w:ascii="Garamond" w:hAnsi="Garamond"/>
        </w:rPr>
        <w:t>modificazioni</w:t>
      </w:r>
      <w:r w:rsidRPr="00E83448">
        <w:rPr>
          <w:rFonts w:ascii="Garamond" w:hAnsi="Garamond"/>
        </w:rPr>
        <w:t>;</w:t>
      </w:r>
    </w:p>
    <w:p w14:paraId="02E479DD" w14:textId="641C0E1A" w:rsidR="0037302B" w:rsidRDefault="0037302B" w:rsidP="0007508C">
      <w:pPr>
        <w:jc w:val="both"/>
        <w:rPr>
          <w:rFonts w:ascii="Garamond" w:hAnsi="Garamond"/>
        </w:rPr>
      </w:pPr>
      <w:r w:rsidRPr="009534A0">
        <w:rPr>
          <w:rFonts w:ascii="Garamond" w:hAnsi="Garamond"/>
          <w:b/>
          <w:bCs/>
        </w:rPr>
        <w:t xml:space="preserve">VISTO </w:t>
      </w:r>
      <w:r w:rsidRPr="00A74D3F">
        <w:rPr>
          <w:rFonts w:ascii="Garamond" w:hAnsi="Garamond"/>
        </w:rPr>
        <w:t>il Decreto</w:t>
      </w:r>
      <w:r>
        <w:rPr>
          <w:rFonts w:ascii="Garamond" w:hAnsi="Garamond"/>
        </w:rPr>
        <w:t xml:space="preserve"> Ministeriale</w:t>
      </w:r>
      <w:r w:rsidRPr="00A74D3F">
        <w:rPr>
          <w:rFonts w:ascii="Garamond" w:hAnsi="Garamond"/>
        </w:rPr>
        <w:t xml:space="preserve"> n</w:t>
      </w:r>
      <w:r w:rsidR="003361A6">
        <w:rPr>
          <w:rFonts w:ascii="Garamond" w:hAnsi="Garamond"/>
        </w:rPr>
        <w:t>.</w:t>
      </w:r>
      <w:r w:rsidRPr="00A74D3F">
        <w:rPr>
          <w:rFonts w:ascii="Garamond" w:hAnsi="Garamond"/>
        </w:rPr>
        <w:t xml:space="preserve"> 226 del 26 novembre 2021</w:t>
      </w:r>
      <w:r>
        <w:rPr>
          <w:rFonts w:ascii="Garamond" w:hAnsi="Garamond"/>
        </w:rPr>
        <w:t xml:space="preserve"> recante l’individuazione dei criteri di riparto delle risorse finanziarie previste nella Missione M5, Componente C1 – tipologia “Investimento”, intervento 1.4 “Sistema Duale”; </w:t>
      </w:r>
    </w:p>
    <w:p w14:paraId="1223BC33" w14:textId="23EDD8E5" w:rsidR="0037302B" w:rsidRDefault="0037302B" w:rsidP="0007508C">
      <w:pPr>
        <w:jc w:val="both"/>
        <w:rPr>
          <w:rFonts w:ascii="Garamond" w:hAnsi="Garamond"/>
        </w:rPr>
      </w:pPr>
      <w:r w:rsidRPr="009534A0">
        <w:rPr>
          <w:rFonts w:ascii="Garamond" w:hAnsi="Garamond"/>
          <w:b/>
          <w:bCs/>
        </w:rPr>
        <w:t xml:space="preserve">VISTO </w:t>
      </w:r>
      <w:r w:rsidRPr="00A74D3F">
        <w:rPr>
          <w:rFonts w:ascii="Garamond" w:hAnsi="Garamond"/>
        </w:rPr>
        <w:t>il Decreto</w:t>
      </w:r>
      <w:r>
        <w:rPr>
          <w:rFonts w:ascii="Garamond" w:hAnsi="Garamond"/>
        </w:rPr>
        <w:t xml:space="preserve"> Direttoriale n 54 del 22 luglio 2022 recante la ripartizione delle </w:t>
      </w:r>
      <w:r w:rsidRPr="008E3291">
        <w:rPr>
          <w:rFonts w:ascii="Garamond" w:hAnsi="Garamond"/>
        </w:rPr>
        <w:t>risorse attribuite all’intervento Missione M5 - Componente C1 - Tipologia “Investimento” - Intervento 1.4 “Sistema duale” del PNRR</w:t>
      </w:r>
      <w:r>
        <w:rPr>
          <w:rFonts w:ascii="Garamond" w:hAnsi="Garamond"/>
        </w:rPr>
        <w:t xml:space="preserve"> per l’annualità </w:t>
      </w:r>
      <w:r w:rsidR="00D71A31">
        <w:rPr>
          <w:rFonts w:ascii="Garamond" w:hAnsi="Garamond"/>
        </w:rPr>
        <w:t xml:space="preserve">finanziaria </w:t>
      </w:r>
      <w:r>
        <w:rPr>
          <w:rFonts w:ascii="Garamond" w:hAnsi="Garamond"/>
        </w:rPr>
        <w:t>2021;</w:t>
      </w:r>
    </w:p>
    <w:p w14:paraId="1930AD5E" w14:textId="76A6970A" w:rsidR="00D71A31" w:rsidRDefault="00D71A31" w:rsidP="0007508C">
      <w:pPr>
        <w:jc w:val="both"/>
        <w:rPr>
          <w:rFonts w:ascii="Garamond" w:hAnsi="Garamond"/>
        </w:rPr>
      </w:pPr>
      <w:r w:rsidRPr="008B57BA">
        <w:rPr>
          <w:rFonts w:ascii="Garamond" w:hAnsi="Garamond"/>
          <w:b/>
          <w:bCs/>
        </w:rPr>
        <w:t>VISTO</w:t>
      </w:r>
      <w:r w:rsidRPr="008B57BA">
        <w:rPr>
          <w:rFonts w:ascii="Garamond" w:hAnsi="Garamond"/>
        </w:rPr>
        <w:t xml:space="preserve"> il Decreto Direttoriale n.76 del 20 settembre 2022 recante costituzione dell’Osservatorio del Sistema duale di cui al paragrafo 9 delle “Linee guida per la programmazione e attuazione dei percorsi di istruzione e formazione professionale (Iefp) e di istruzione e formazione tecnica superiore (Ifts) in modalità duale” adottate con Decreto ministeriale n. 139 del 2 agosto 2022”</w:t>
      </w:r>
      <w:r>
        <w:rPr>
          <w:rFonts w:ascii="Garamond" w:hAnsi="Garamond"/>
        </w:rPr>
        <w:t>;</w:t>
      </w:r>
    </w:p>
    <w:p w14:paraId="7C87C100" w14:textId="77777777" w:rsidR="00490229" w:rsidRPr="0077142B" w:rsidRDefault="00490229" w:rsidP="00B75623">
      <w:pPr>
        <w:jc w:val="both"/>
        <w:rPr>
          <w:rFonts w:ascii="Garamond" w:hAnsi="Garamond"/>
        </w:rPr>
      </w:pPr>
      <w:r w:rsidRPr="0077142B">
        <w:rPr>
          <w:rFonts w:ascii="Garamond" w:hAnsi="Garamond"/>
          <w:b/>
          <w:bCs/>
        </w:rPr>
        <w:t>VISTO</w:t>
      </w:r>
      <w:r w:rsidRPr="0077142B">
        <w:rPr>
          <w:rFonts w:ascii="Garamond" w:hAnsi="Garamond"/>
        </w:rPr>
        <w:t xml:space="preserve"> il decreto-legge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w:t>
      </w:r>
    </w:p>
    <w:p w14:paraId="7E2E4DE5" w14:textId="77777777" w:rsidR="00C35E1A" w:rsidRDefault="00DB6020" w:rsidP="00B75623">
      <w:pPr>
        <w:jc w:val="both"/>
        <w:rPr>
          <w:rFonts w:ascii="Garamond" w:hAnsi="Garamond"/>
          <w:b/>
          <w:bCs/>
        </w:rPr>
      </w:pPr>
      <w:r w:rsidRPr="0077142B">
        <w:rPr>
          <w:rFonts w:ascii="Garamond" w:hAnsi="Garamond"/>
          <w:b/>
          <w:bCs/>
        </w:rPr>
        <w:t>VISTA</w:t>
      </w:r>
      <w:r w:rsidRPr="0077142B">
        <w:rPr>
          <w:rFonts w:ascii="Garamond" w:hAnsi="Garamond"/>
        </w:rPr>
        <w:t xml:space="preserve"> la 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w:t>
      </w:r>
      <w:r w:rsidR="00C35E1A" w:rsidRPr="00C35E1A">
        <w:rPr>
          <w:rFonts w:ascii="Garamond" w:hAnsi="Garamond"/>
          <w:b/>
          <w:bCs/>
        </w:rPr>
        <w:t xml:space="preserve"> </w:t>
      </w:r>
    </w:p>
    <w:p w14:paraId="1F0D0ECC" w14:textId="0EC03141" w:rsidR="00C35E1A" w:rsidRPr="0077142B" w:rsidRDefault="00C35E1A" w:rsidP="00B75623">
      <w:pPr>
        <w:jc w:val="both"/>
        <w:rPr>
          <w:rFonts w:ascii="Garamond" w:hAnsi="Garamond"/>
        </w:rPr>
      </w:pPr>
      <w:r w:rsidRPr="0077142B">
        <w:rPr>
          <w:rFonts w:ascii="Garamond" w:hAnsi="Garamond"/>
          <w:b/>
          <w:bCs/>
        </w:rPr>
        <w:t>VISTA</w:t>
      </w:r>
      <w:r w:rsidRPr="0077142B">
        <w:rPr>
          <w:rFonts w:ascii="Garamond" w:hAnsi="Garamond"/>
        </w:rPr>
        <w:t xml:space="preserve"> la delibera del CIPE n. 63 del 26 novembre 2020, che introduce la normativa attuativa della riforma del CUP;</w:t>
      </w:r>
    </w:p>
    <w:p w14:paraId="35371581" w14:textId="37E34E8C" w:rsidR="00DB6020" w:rsidRDefault="49F161EF" w:rsidP="001178EF">
      <w:pPr>
        <w:jc w:val="both"/>
        <w:rPr>
          <w:rFonts w:ascii="Garamond" w:hAnsi="Garamond"/>
        </w:rPr>
      </w:pPr>
      <w:r w:rsidRPr="55765628">
        <w:rPr>
          <w:rFonts w:ascii="Garamond" w:hAnsi="Garamond"/>
          <w:b/>
          <w:bCs/>
        </w:rPr>
        <w:t>VISTO</w:t>
      </w:r>
      <w:r w:rsidRPr="55765628">
        <w:rPr>
          <w:rFonts w:ascii="Garamond" w:hAnsi="Garamond"/>
        </w:rPr>
        <w:t xml:space="preserve"> il decreto del Ministro dell’economia e delle finanze del 6 agosto 2021 relativo all’assegnazione delle risorse in favore di ciascuna Amministrazione titolare degli interventi PNRR e corrispondenti </w:t>
      </w:r>
      <w:r w:rsidRPr="55765628">
        <w:rPr>
          <w:rFonts w:ascii="Garamond" w:hAnsi="Garamond"/>
          <w:color w:val="000000" w:themeColor="text1"/>
        </w:rPr>
        <w:t>Traguardi e Obiettivi</w:t>
      </w:r>
      <w:r w:rsidRPr="55765628">
        <w:rPr>
          <w:rFonts w:ascii="Garamond" w:hAnsi="Garamond"/>
        </w:rPr>
        <w:t xml:space="preserve"> e ss.mm.ii.;</w:t>
      </w:r>
    </w:p>
    <w:p w14:paraId="7DFB5168" w14:textId="2A291FC2" w:rsidR="00490229" w:rsidRDefault="00490229" w:rsidP="001178EF">
      <w:pPr>
        <w:jc w:val="both"/>
        <w:rPr>
          <w:rFonts w:ascii="Garamond" w:hAnsi="Garamond"/>
          <w:b/>
          <w:bCs/>
        </w:rPr>
      </w:pPr>
      <w:r w:rsidRPr="00490229">
        <w:rPr>
          <w:rFonts w:ascii="Garamond" w:hAnsi="Garamond"/>
          <w:b/>
          <w:bCs/>
        </w:rPr>
        <w:t>VISTO</w:t>
      </w:r>
      <w:r>
        <w:rPr>
          <w:rFonts w:ascii="Garamond" w:hAnsi="Garamond"/>
        </w:rPr>
        <w:t xml:space="preserve"> l’articolo 1</w:t>
      </w:r>
      <w:r w:rsidR="007E1763">
        <w:rPr>
          <w:rFonts w:ascii="Garamond" w:hAnsi="Garamond"/>
        </w:rPr>
        <w:t>,</w:t>
      </w:r>
      <w:r>
        <w:rPr>
          <w:rFonts w:ascii="Garamond" w:hAnsi="Garamond"/>
        </w:rPr>
        <w:t xml:space="preserve"> comma 1042</w:t>
      </w:r>
      <w:r w:rsidR="007E1763">
        <w:rPr>
          <w:rFonts w:ascii="Garamond" w:hAnsi="Garamond"/>
        </w:rPr>
        <w:t>,</w:t>
      </w:r>
      <w:r>
        <w:rPr>
          <w:rFonts w:ascii="Garamond" w:hAnsi="Garamond"/>
        </w:rPr>
        <w:t xml:space="preserve"> della legge 30 dicembre 2020 n.178 ai sensi della quale con uno o più decreti del Ministero dell’Economia e delle Finanze sono stabilite le procedure Amministrativo contabili per la gestione delle risorse di cui ai commi da 1037 a 1050, nonché le modalità di rendicontazione della gestione del Fondo di cui al comma 1037;</w:t>
      </w:r>
      <w:r w:rsidRPr="00490229">
        <w:rPr>
          <w:rFonts w:ascii="Garamond" w:hAnsi="Garamond"/>
          <w:b/>
          <w:bCs/>
        </w:rPr>
        <w:t xml:space="preserve"> </w:t>
      </w:r>
    </w:p>
    <w:p w14:paraId="264AA3AC" w14:textId="727E3C4D" w:rsidR="00EE1EC4" w:rsidRPr="00EE1EC4" w:rsidRDefault="00EE1EC4" w:rsidP="001178EF">
      <w:pPr>
        <w:jc w:val="both"/>
        <w:rPr>
          <w:rFonts w:ascii="Garamond" w:hAnsi="Garamond"/>
        </w:rPr>
      </w:pPr>
      <w:r w:rsidRPr="0077142B">
        <w:rPr>
          <w:rFonts w:ascii="Garamond" w:hAnsi="Garamond"/>
          <w:b/>
          <w:bCs/>
        </w:rPr>
        <w:t>VISTO</w:t>
      </w:r>
      <w:r w:rsidRPr="00EE1EC4">
        <w:rPr>
          <w:rFonts w:ascii="Garamond" w:hAnsi="Garamond"/>
        </w:rPr>
        <w:t xml:space="preserve"> </w:t>
      </w:r>
      <w:r w:rsidR="006A7E52">
        <w:rPr>
          <w:rFonts w:ascii="Garamond" w:hAnsi="Garamond"/>
        </w:rPr>
        <w:t xml:space="preserve">il </w:t>
      </w:r>
      <w:r w:rsidR="00D64458" w:rsidRPr="0077142B">
        <w:rPr>
          <w:rFonts w:ascii="Garamond" w:hAnsi="Garamond"/>
        </w:rPr>
        <w:t>Decreto Legge</w:t>
      </w:r>
      <w:r w:rsidRPr="00EE1EC4">
        <w:rPr>
          <w:rFonts w:ascii="Garamond" w:hAnsi="Garamond"/>
        </w:rPr>
        <w:t>. 31 maggio 2021 n. 77, coordinato con la legge di conversione 29 luglio 2021, n. 108</w:t>
      </w:r>
      <w:r w:rsidR="00EF4913">
        <w:rPr>
          <w:rFonts w:ascii="Garamond" w:hAnsi="Garamond"/>
        </w:rPr>
        <w:t>,</w:t>
      </w:r>
      <w:r w:rsidRPr="00EE1EC4">
        <w:rPr>
          <w:rFonts w:ascii="Garamond" w:hAnsi="Garamond"/>
        </w:rPr>
        <w:t xml:space="preserve"> recante «Governance del Piano nazionale di ripresa e resilienza e prime misure di rafforzamento delle strutture amministrative e di accelerazione e snellimento delle procedure», artt. 9, 12, 15, 15 bis; </w:t>
      </w:r>
    </w:p>
    <w:p w14:paraId="1875C38C" w14:textId="732D8ABB" w:rsidR="00EE1EC4" w:rsidRPr="00EE1EC4" w:rsidRDefault="00EE1EC4" w:rsidP="001178EF">
      <w:pPr>
        <w:jc w:val="both"/>
        <w:rPr>
          <w:rFonts w:ascii="Garamond" w:hAnsi="Garamond"/>
        </w:rPr>
      </w:pPr>
      <w:r w:rsidRPr="0077142B">
        <w:rPr>
          <w:rFonts w:ascii="Garamond" w:hAnsi="Garamond"/>
          <w:b/>
          <w:bCs/>
        </w:rPr>
        <w:t>VISTO</w:t>
      </w:r>
      <w:r w:rsidRPr="00EE1EC4">
        <w:rPr>
          <w:rFonts w:ascii="Garamond" w:hAnsi="Garamond"/>
        </w:rPr>
        <w:t xml:space="preserve"> </w:t>
      </w:r>
      <w:r w:rsidR="006A7E52">
        <w:rPr>
          <w:rFonts w:ascii="Garamond" w:hAnsi="Garamond"/>
        </w:rPr>
        <w:t xml:space="preserve">il </w:t>
      </w:r>
      <w:r w:rsidR="00D64458" w:rsidRPr="0077142B">
        <w:rPr>
          <w:rFonts w:ascii="Garamond" w:hAnsi="Garamond"/>
        </w:rPr>
        <w:t>Decreto Legge</w:t>
      </w:r>
      <w:r w:rsidRPr="00EE1EC4">
        <w:rPr>
          <w:rFonts w:ascii="Garamond" w:hAnsi="Garamond"/>
        </w:rPr>
        <w:t xml:space="preserve"> 10 settembre 2021 n. 121</w:t>
      </w:r>
      <w:r w:rsidR="00FE7413">
        <w:rPr>
          <w:rFonts w:ascii="Garamond" w:hAnsi="Garamond"/>
        </w:rPr>
        <w:t>,</w:t>
      </w:r>
      <w:r w:rsidRPr="00EE1EC4">
        <w:rPr>
          <w:rFonts w:ascii="Garamond" w:hAnsi="Garamond"/>
        </w:rPr>
        <w:t xml:space="preserve"> coordinato con la legge di conversione 9 novembre 2021 n. 156,</w:t>
      </w:r>
      <w:r w:rsidR="00CB65E4">
        <w:rPr>
          <w:rFonts w:ascii="Garamond" w:hAnsi="Garamond"/>
        </w:rPr>
        <w:t xml:space="preserve"> </w:t>
      </w:r>
      <w:r w:rsidRPr="00EE1EC4">
        <w:rPr>
          <w:rFonts w:ascii="Garamond" w:hAnsi="Garamond"/>
        </w:rPr>
        <w:t xml:space="preserve">art. 10 comma 3, che unitamente al decreto del Ministro dell'economia e delle finanze di cui al comma 2 costituisce la base giuridica di riferimento per l'attivazione, da parte delle amministrazioni responsabili, delle procedure di attuazione dei singoli interventi previsti dal PNRR, secondo quanto disposto dalla vigente normativa nazionale ed europea, ivi compresa l'assunzione dei corrispondenti impegni di spesa, nei limiti delle risorse assegnate ai sensi del decreto di cui al comma 2”; </w:t>
      </w:r>
    </w:p>
    <w:p w14:paraId="78DB7EF7" w14:textId="3530104F" w:rsidR="00EE1EC4" w:rsidRPr="00EE1EC4" w:rsidRDefault="00EE1EC4" w:rsidP="008B77EF">
      <w:pPr>
        <w:jc w:val="both"/>
        <w:rPr>
          <w:rFonts w:ascii="Garamond" w:hAnsi="Garamond"/>
        </w:rPr>
      </w:pPr>
      <w:r w:rsidRPr="0077142B">
        <w:rPr>
          <w:rFonts w:ascii="Garamond" w:hAnsi="Garamond"/>
          <w:b/>
          <w:bCs/>
        </w:rPr>
        <w:t>VISTO</w:t>
      </w:r>
      <w:r w:rsidRPr="00EE1EC4">
        <w:rPr>
          <w:rFonts w:ascii="Garamond" w:hAnsi="Garamond"/>
        </w:rPr>
        <w:t xml:space="preserve"> </w:t>
      </w:r>
      <w:r w:rsidR="006A7E52">
        <w:rPr>
          <w:rFonts w:ascii="Garamond" w:hAnsi="Garamond"/>
        </w:rPr>
        <w:t xml:space="preserve">il </w:t>
      </w:r>
      <w:r w:rsidR="00D64458" w:rsidRPr="0077142B">
        <w:rPr>
          <w:rFonts w:ascii="Garamond" w:hAnsi="Garamond"/>
        </w:rPr>
        <w:t>Decreto Legge</w:t>
      </w:r>
      <w:r w:rsidR="00D64458" w:rsidRPr="00EE1EC4" w:rsidDel="00D64458">
        <w:rPr>
          <w:rFonts w:ascii="Garamond" w:hAnsi="Garamond"/>
        </w:rPr>
        <w:t xml:space="preserve"> </w:t>
      </w:r>
      <w:r w:rsidRPr="00EE1EC4">
        <w:rPr>
          <w:rFonts w:ascii="Garamond" w:hAnsi="Garamond"/>
        </w:rPr>
        <w:t>6 novembre 2021 n. 152</w:t>
      </w:r>
      <w:r w:rsidR="00CC5A99">
        <w:rPr>
          <w:rFonts w:ascii="Garamond" w:hAnsi="Garamond"/>
        </w:rPr>
        <w:t>,</w:t>
      </w:r>
      <w:r w:rsidRPr="00EE1EC4">
        <w:rPr>
          <w:rFonts w:ascii="Garamond" w:hAnsi="Garamond"/>
        </w:rPr>
        <w:t xml:space="preserve"> coordinato con la legge di conversione 29 dicembre 2021, n. 233 recante «Disposizioni urgenti per l’attuazione del Piano nazionale di ripresa e resilienza (PNRR) e per la prevenzione delle infiltrazioni mafiose»,</w:t>
      </w:r>
      <w:r w:rsidR="000538DF">
        <w:rPr>
          <w:rFonts w:ascii="Garamond" w:hAnsi="Garamond"/>
        </w:rPr>
        <w:t xml:space="preserve"> in particolare</w:t>
      </w:r>
      <w:r w:rsidRPr="00EE1EC4">
        <w:rPr>
          <w:rFonts w:ascii="Garamond" w:hAnsi="Garamond"/>
        </w:rPr>
        <w:t xml:space="preserve"> artt. 31 e 31bis;</w:t>
      </w:r>
    </w:p>
    <w:p w14:paraId="17A2B0E9" w14:textId="0FEE8197" w:rsidR="00EE1EC4" w:rsidRPr="00EE1EC4" w:rsidRDefault="00EE1EC4" w:rsidP="00390FE3">
      <w:pPr>
        <w:jc w:val="both"/>
        <w:rPr>
          <w:rFonts w:ascii="Garamond" w:hAnsi="Garamond"/>
        </w:rPr>
      </w:pPr>
      <w:r w:rsidRPr="0077142B">
        <w:rPr>
          <w:rFonts w:ascii="Garamond" w:hAnsi="Garamond"/>
          <w:b/>
          <w:bCs/>
        </w:rPr>
        <w:t>VISTO</w:t>
      </w:r>
      <w:r w:rsidRPr="00EE1EC4">
        <w:rPr>
          <w:rFonts w:ascii="Garamond" w:hAnsi="Garamond"/>
        </w:rPr>
        <w:t xml:space="preserve"> </w:t>
      </w:r>
      <w:r w:rsidR="006A7E52">
        <w:rPr>
          <w:rFonts w:ascii="Garamond" w:hAnsi="Garamond"/>
        </w:rPr>
        <w:t xml:space="preserve">il </w:t>
      </w:r>
      <w:r w:rsidR="00D64458" w:rsidRPr="0077142B">
        <w:rPr>
          <w:rFonts w:ascii="Garamond" w:hAnsi="Garamond"/>
        </w:rPr>
        <w:t>Decreto Legge</w:t>
      </w:r>
      <w:r w:rsidR="00D64458" w:rsidRPr="00EE1EC4" w:rsidDel="00D64458">
        <w:rPr>
          <w:rFonts w:ascii="Garamond" w:hAnsi="Garamond"/>
        </w:rPr>
        <w:t xml:space="preserve"> </w:t>
      </w:r>
      <w:r w:rsidRPr="00EE1EC4">
        <w:rPr>
          <w:rFonts w:ascii="Garamond" w:hAnsi="Garamond"/>
        </w:rPr>
        <w:t>9 giugno 2021 n. 80</w:t>
      </w:r>
      <w:r w:rsidR="00B52644">
        <w:rPr>
          <w:rFonts w:ascii="Garamond" w:hAnsi="Garamond"/>
        </w:rPr>
        <w:t>,</w:t>
      </w:r>
      <w:r w:rsidRPr="00EE1EC4">
        <w:rPr>
          <w:rFonts w:ascii="Garamond" w:hAnsi="Garamond"/>
        </w:rPr>
        <w:t xml:space="preserve"> coordinato con la legge di conversione 6 agosto 2021 n. 113, recante «Misure urgenti per il rafforzamento della capacità amministrativa delle pubbliche amministrazioni funzionale all’attuazione del Piano nazionale di ripresa e resilienza (PNRR) e per l’efficienza della giustizia», </w:t>
      </w:r>
      <w:r w:rsidR="000538DF">
        <w:rPr>
          <w:rFonts w:ascii="Garamond" w:hAnsi="Garamond"/>
        </w:rPr>
        <w:t xml:space="preserve">in particolare </w:t>
      </w:r>
      <w:r w:rsidRPr="00EE1EC4">
        <w:rPr>
          <w:rFonts w:ascii="Garamond" w:hAnsi="Garamond"/>
        </w:rPr>
        <w:t>art. 9;</w:t>
      </w:r>
    </w:p>
    <w:p w14:paraId="576992C4" w14:textId="32C52D09" w:rsidR="00EE1EC4" w:rsidRPr="00EE1EC4" w:rsidRDefault="00EE1EC4" w:rsidP="003C1AC7">
      <w:pPr>
        <w:jc w:val="both"/>
        <w:rPr>
          <w:rFonts w:ascii="Garamond" w:hAnsi="Garamond"/>
        </w:rPr>
      </w:pPr>
      <w:r w:rsidRPr="0077142B">
        <w:rPr>
          <w:rFonts w:ascii="Garamond" w:hAnsi="Garamond"/>
          <w:b/>
          <w:bCs/>
        </w:rPr>
        <w:t>VISTO</w:t>
      </w:r>
      <w:r w:rsidR="008D2BF8">
        <w:rPr>
          <w:rFonts w:ascii="Garamond" w:hAnsi="Garamond"/>
        </w:rPr>
        <w:t xml:space="preserve"> il </w:t>
      </w:r>
      <w:r w:rsidRPr="00EE1EC4">
        <w:rPr>
          <w:rFonts w:ascii="Garamond" w:hAnsi="Garamond"/>
        </w:rPr>
        <w:t>Decreto del Ministro dell’economia e delle finanze recante “Modifiche al decreto del Ministro dell’economia e delle finanze 11 ottobre 2021 che stabilisce le procedure relative alla gestione finanziaria delle risorse previste nell’ambito del PNRR di cui all’articolo 1, comma 1042, della legge 30 dicembre 2020, n. 178”, pubblicato in data 12 settembre 2022 nella Gazzetta Ufficiale n. 213;</w:t>
      </w:r>
    </w:p>
    <w:p w14:paraId="7E110BB6" w14:textId="652600D8" w:rsidR="00490229" w:rsidRPr="0077142B" w:rsidRDefault="00490229" w:rsidP="00F267A7">
      <w:pPr>
        <w:jc w:val="both"/>
        <w:rPr>
          <w:rFonts w:ascii="Garamond" w:hAnsi="Garamond"/>
        </w:rPr>
      </w:pPr>
      <w:r w:rsidRPr="0077142B">
        <w:rPr>
          <w:rFonts w:ascii="Garamond" w:hAnsi="Garamond"/>
          <w:b/>
          <w:bCs/>
        </w:rPr>
        <w:t>VISTO</w:t>
      </w:r>
      <w:r w:rsidRPr="0077142B">
        <w:rPr>
          <w:rFonts w:ascii="Garamond" w:hAnsi="Garamond"/>
        </w:rPr>
        <w:t xml:space="preserve"> l’articolo 1, comma 1043, secondo periodo della legge 30 dicembre 2020, n. 178, ai sensi del quale al fine di supportare le attività di gestione, di monitoraggio, di rendicontazione e di controllo delle componenti del Next Generation EU, il Ministero dell'economia e delle finanze - Dipartimento della Ragioneria generale dello Stato sviluppa e rende disponibile un apposito sistema informatico;</w:t>
      </w:r>
    </w:p>
    <w:p w14:paraId="6C4299AE" w14:textId="77777777" w:rsidR="00490229" w:rsidRPr="0077142B" w:rsidRDefault="00490229" w:rsidP="00F267A7">
      <w:pPr>
        <w:jc w:val="both"/>
        <w:rPr>
          <w:rFonts w:ascii="Garamond" w:hAnsi="Garamond"/>
        </w:rPr>
      </w:pPr>
      <w:r w:rsidRPr="0077142B">
        <w:rPr>
          <w:rFonts w:ascii="Garamond" w:hAnsi="Garamond"/>
          <w:b/>
          <w:bCs/>
        </w:rPr>
        <w:t>VISTI</w:t>
      </w:r>
      <w:r w:rsidRPr="0077142B">
        <w:rPr>
          <w:rFonts w:ascii="Garamond" w:hAnsi="Garamond"/>
        </w:rPr>
        <w:t xml:space="preserve"> i principi trasversali previsti dal PNRR, quali, tra gli altri, il principio del contributo all’obiettivo climatico e digitale (c.d. tagging), il principio di parità di genere e l’obbligo di protezione e valorizzazione dei giovani;</w:t>
      </w:r>
    </w:p>
    <w:p w14:paraId="1D40D121" w14:textId="00B0A095" w:rsidR="00DB6020" w:rsidRPr="0077142B" w:rsidRDefault="49F161EF" w:rsidP="00F71470">
      <w:pPr>
        <w:jc w:val="both"/>
        <w:rPr>
          <w:rFonts w:ascii="Garamond" w:hAnsi="Garamond"/>
        </w:rPr>
      </w:pPr>
      <w:r w:rsidRPr="55765628">
        <w:rPr>
          <w:rFonts w:ascii="Garamond" w:hAnsi="Garamond"/>
          <w:b/>
          <w:bCs/>
        </w:rPr>
        <w:t>VISTI</w:t>
      </w:r>
      <w:r w:rsidRPr="55765628">
        <w:rPr>
          <w:rFonts w:ascii="Garamond" w:hAnsi="Garamond"/>
        </w:rPr>
        <w:t xml:space="preserve"> gli obblighi di assicurare il conseguimento </w:t>
      </w:r>
      <w:r w:rsidRPr="55765628">
        <w:rPr>
          <w:rFonts w:ascii="Garamond" w:hAnsi="Garamond"/>
          <w:color w:val="000000" w:themeColor="text1"/>
        </w:rPr>
        <w:t>dei Traguardi e degli Obiettivi</w:t>
      </w:r>
      <w:r w:rsidR="004667DF">
        <w:rPr>
          <w:rFonts w:ascii="Garamond" w:hAnsi="Garamond"/>
          <w:color w:val="000000" w:themeColor="text1"/>
        </w:rPr>
        <w:t xml:space="preserve">, nonché </w:t>
      </w:r>
      <w:r w:rsidRPr="55765628">
        <w:rPr>
          <w:rFonts w:ascii="Garamond" w:hAnsi="Garamond"/>
        </w:rPr>
        <w:t>degli obiettivi finanziari stabiliti nel PNRR;</w:t>
      </w:r>
    </w:p>
    <w:p w14:paraId="3AF254B1" w14:textId="7D6237E2" w:rsidR="00DB6020" w:rsidRPr="0077142B" w:rsidRDefault="49F161EF" w:rsidP="00F952CD">
      <w:pPr>
        <w:jc w:val="both"/>
        <w:rPr>
          <w:rFonts w:ascii="Garamond" w:hAnsi="Garamond"/>
        </w:rPr>
      </w:pPr>
      <w:r w:rsidRPr="55765628">
        <w:rPr>
          <w:rFonts w:ascii="Garamond" w:hAnsi="Garamond"/>
          <w:b/>
          <w:bCs/>
        </w:rPr>
        <w:t>VISTO</w:t>
      </w:r>
      <w:r w:rsidRPr="55765628">
        <w:rPr>
          <w:rFonts w:ascii="Garamond" w:hAnsi="Garamond"/>
        </w:rPr>
        <w:t xml:space="preserve"> l’articolo 6 del </w:t>
      </w:r>
      <w:r w:rsidR="00CB65E4">
        <w:rPr>
          <w:rFonts w:ascii="Garamond" w:hAnsi="Garamond"/>
        </w:rPr>
        <w:t>D</w:t>
      </w:r>
      <w:r w:rsidRPr="55765628">
        <w:rPr>
          <w:rFonts w:ascii="Garamond" w:hAnsi="Garamond"/>
        </w:rPr>
        <w:t xml:space="preserve">ecreto </w:t>
      </w:r>
      <w:r w:rsidR="00CB65E4">
        <w:rPr>
          <w:rFonts w:ascii="Garamond" w:hAnsi="Garamond"/>
        </w:rPr>
        <w:t>L</w:t>
      </w:r>
      <w:r w:rsidRPr="55765628">
        <w:rPr>
          <w:rFonts w:ascii="Garamond" w:hAnsi="Garamond"/>
        </w:rPr>
        <w:t>egge 31 maggio 2021, n. 77, convertito con modificazioni dalla legge di conversione del 29 luglio 2021, n. 108, ai sensi del quale sono attribuiti al Servizio centrale per il PNRR, quale punto di contatto nazionale per la Commissione europea ai sensi dell’articolo 22 del Regolamento (UE) 2021/241, funzioni di coordinamento operativo, monitoraggio, rendicontazione e controllo del PNRR;</w:t>
      </w:r>
    </w:p>
    <w:p w14:paraId="7DA7CFAE" w14:textId="7299FAB5" w:rsidR="00DB6020" w:rsidRPr="0077142B" w:rsidRDefault="49F161EF" w:rsidP="00C36DB7">
      <w:pPr>
        <w:jc w:val="both"/>
        <w:rPr>
          <w:rFonts w:ascii="Garamond" w:hAnsi="Garamond"/>
        </w:rPr>
      </w:pPr>
      <w:r w:rsidRPr="55765628">
        <w:rPr>
          <w:rFonts w:ascii="Garamond" w:hAnsi="Garamond"/>
          <w:b/>
          <w:bCs/>
        </w:rPr>
        <w:t>VISTA</w:t>
      </w:r>
      <w:r w:rsidRPr="55765628">
        <w:rPr>
          <w:rFonts w:ascii="Garamond" w:hAnsi="Garamond"/>
        </w:rPr>
        <w:t xml:space="preserve"> la Circolare RGS </w:t>
      </w:r>
      <w:r w:rsidR="00DA2AF5">
        <w:rPr>
          <w:rFonts w:ascii="Garamond" w:hAnsi="Garamond"/>
        </w:rPr>
        <w:t xml:space="preserve">n. 21 </w:t>
      </w:r>
      <w:r w:rsidRPr="55765628">
        <w:rPr>
          <w:rFonts w:ascii="Garamond" w:hAnsi="Garamond"/>
        </w:rPr>
        <w:t>del 14 ottobre 2021, recante: “Piano Nazionale di Ripresa e Resilienza (PNRR) - Trasmissione delle Istruzioni Tecniche per la selezione dei progetti PNRR” e relativi allegati</w:t>
      </w:r>
      <w:r w:rsidR="1CFD94D5" w:rsidRPr="55765628">
        <w:rPr>
          <w:rFonts w:ascii="Garamond" w:hAnsi="Garamond"/>
        </w:rPr>
        <w:t xml:space="preserve"> e successive modifiche e integrazioni;</w:t>
      </w:r>
    </w:p>
    <w:p w14:paraId="4218FCDC" w14:textId="78E59EC5" w:rsidR="00C6151E" w:rsidRDefault="00DB6020" w:rsidP="008F7623">
      <w:pPr>
        <w:jc w:val="both"/>
        <w:rPr>
          <w:rFonts w:ascii="Garamond" w:hAnsi="Garamond"/>
        </w:rPr>
      </w:pPr>
      <w:r w:rsidRPr="0077142B">
        <w:rPr>
          <w:rFonts w:ascii="Garamond" w:hAnsi="Garamond"/>
          <w:b/>
          <w:bCs/>
        </w:rPr>
        <w:t>VISTA</w:t>
      </w:r>
      <w:r w:rsidRPr="0077142B">
        <w:rPr>
          <w:rFonts w:ascii="Garamond" w:hAnsi="Garamond"/>
        </w:rPr>
        <w:t xml:space="preserve"> la Circolare RGS </w:t>
      </w:r>
      <w:r w:rsidR="00D82261">
        <w:rPr>
          <w:rFonts w:ascii="Garamond" w:hAnsi="Garamond"/>
        </w:rPr>
        <w:t xml:space="preserve">n. 32 </w:t>
      </w:r>
      <w:r w:rsidRPr="0077142B">
        <w:rPr>
          <w:rFonts w:ascii="Garamond" w:hAnsi="Garamond"/>
        </w:rPr>
        <w:t>del 30 dicembre 2021, recante: “Guida operativa per il rispetto del principio di non arrecare danno significativo all’ambiente (DNSH)”;</w:t>
      </w:r>
    </w:p>
    <w:p w14:paraId="253A8A01" w14:textId="7BDE8E03" w:rsidR="00B768D1" w:rsidRDefault="00B768D1" w:rsidP="0007508C">
      <w:pPr>
        <w:jc w:val="both"/>
        <w:rPr>
          <w:rFonts w:ascii="Garamond" w:hAnsi="Garamond"/>
        </w:rPr>
      </w:pPr>
      <w:r w:rsidRPr="00601D21">
        <w:rPr>
          <w:rFonts w:ascii="Garamond" w:hAnsi="Garamond"/>
          <w:b/>
          <w:bCs/>
        </w:rPr>
        <w:t>VISTA</w:t>
      </w:r>
      <w:r w:rsidRPr="779896F3">
        <w:rPr>
          <w:rFonts w:ascii="Garamond" w:hAnsi="Garamond"/>
        </w:rPr>
        <w:t xml:space="preserve"> la Circolare RGS n</w:t>
      </w:r>
      <w:r w:rsidR="009A57F1">
        <w:rPr>
          <w:rFonts w:ascii="Garamond" w:hAnsi="Garamond"/>
        </w:rPr>
        <w:t>.</w:t>
      </w:r>
      <w:r w:rsidRPr="779896F3">
        <w:rPr>
          <w:rFonts w:ascii="Garamond" w:hAnsi="Garamond"/>
        </w:rPr>
        <w:t xml:space="preserve"> </w:t>
      </w:r>
      <w:r>
        <w:rPr>
          <w:rFonts w:ascii="Garamond" w:hAnsi="Garamond"/>
        </w:rPr>
        <w:t>33</w:t>
      </w:r>
      <w:r w:rsidRPr="779896F3">
        <w:rPr>
          <w:rFonts w:ascii="Garamond" w:hAnsi="Garamond"/>
        </w:rPr>
        <w:t xml:space="preserve"> del</w:t>
      </w:r>
      <w:r>
        <w:rPr>
          <w:rFonts w:ascii="Garamond" w:hAnsi="Garamond"/>
        </w:rPr>
        <w:t xml:space="preserve"> 31 dicembre 2021 </w:t>
      </w:r>
      <w:r w:rsidRPr="779896F3">
        <w:rPr>
          <w:rFonts w:ascii="Garamond" w:hAnsi="Garamond"/>
        </w:rPr>
        <w:t>recante</w:t>
      </w:r>
      <w:r w:rsidR="006C666B">
        <w:rPr>
          <w:rFonts w:ascii="Garamond" w:hAnsi="Garamond"/>
        </w:rPr>
        <w:t>:</w:t>
      </w:r>
      <w:r w:rsidRPr="779896F3">
        <w:rPr>
          <w:rFonts w:ascii="Garamond" w:hAnsi="Garamond"/>
        </w:rPr>
        <w:t xml:space="preserve"> </w:t>
      </w:r>
      <w:r w:rsidR="006C666B">
        <w:rPr>
          <w:rFonts w:ascii="Garamond" w:hAnsi="Garamond"/>
        </w:rPr>
        <w:t>“</w:t>
      </w:r>
      <w:r w:rsidRPr="003D18B6">
        <w:rPr>
          <w:rFonts w:ascii="Garamond" w:hAnsi="Garamond"/>
        </w:rPr>
        <w:t>Trasmissione delle Istruzioni Tecniche per la selezione dei progetti PNRR – Addizionalità, finanziamento complementare e obbligo di assenza del c.d. doppio finanziamento</w:t>
      </w:r>
      <w:r w:rsidR="006C666B">
        <w:rPr>
          <w:rFonts w:ascii="Garamond" w:hAnsi="Garamond"/>
        </w:rPr>
        <w:t>”</w:t>
      </w:r>
      <w:r>
        <w:rPr>
          <w:rFonts w:ascii="Garamond" w:hAnsi="Garamond"/>
        </w:rPr>
        <w:t>;</w:t>
      </w:r>
    </w:p>
    <w:p w14:paraId="51CD1FE1" w14:textId="23FAF883" w:rsidR="00B768D1" w:rsidRDefault="00B768D1" w:rsidP="0007508C">
      <w:pPr>
        <w:jc w:val="both"/>
        <w:rPr>
          <w:rFonts w:ascii="Garamond" w:hAnsi="Garamond"/>
        </w:rPr>
      </w:pPr>
      <w:r w:rsidRPr="00601D21">
        <w:rPr>
          <w:rFonts w:ascii="Garamond" w:hAnsi="Garamond"/>
          <w:b/>
          <w:bCs/>
        </w:rPr>
        <w:t>VISTA</w:t>
      </w:r>
      <w:r w:rsidRPr="779896F3">
        <w:rPr>
          <w:rFonts w:ascii="Garamond" w:hAnsi="Garamond"/>
        </w:rPr>
        <w:t xml:space="preserve"> la Circolare RGS n</w:t>
      </w:r>
      <w:r w:rsidR="009A57F1">
        <w:rPr>
          <w:rFonts w:ascii="Garamond" w:hAnsi="Garamond"/>
        </w:rPr>
        <w:t>.</w:t>
      </w:r>
      <w:r w:rsidRPr="779896F3">
        <w:rPr>
          <w:rFonts w:ascii="Garamond" w:hAnsi="Garamond"/>
        </w:rPr>
        <w:t xml:space="preserve"> </w:t>
      </w:r>
      <w:r>
        <w:rPr>
          <w:rFonts w:ascii="Garamond" w:hAnsi="Garamond"/>
        </w:rPr>
        <w:t>4</w:t>
      </w:r>
      <w:r w:rsidRPr="779896F3">
        <w:rPr>
          <w:rFonts w:ascii="Garamond" w:hAnsi="Garamond"/>
        </w:rPr>
        <w:t xml:space="preserve"> del</w:t>
      </w:r>
      <w:r>
        <w:rPr>
          <w:rFonts w:ascii="Garamond" w:hAnsi="Garamond"/>
        </w:rPr>
        <w:t xml:space="preserve"> 18 gennaio 2022 </w:t>
      </w:r>
      <w:r w:rsidRPr="779896F3">
        <w:rPr>
          <w:rFonts w:ascii="Garamond" w:hAnsi="Garamond"/>
        </w:rPr>
        <w:t>re</w:t>
      </w:r>
      <w:r>
        <w:rPr>
          <w:rFonts w:ascii="Garamond" w:hAnsi="Garamond"/>
        </w:rPr>
        <w:t>lativa ai costi di personale ammissibili al PNRR;</w:t>
      </w:r>
    </w:p>
    <w:p w14:paraId="454CDA92" w14:textId="6E1C70F6" w:rsidR="00B768D1" w:rsidRDefault="00B768D1" w:rsidP="0007508C">
      <w:pPr>
        <w:jc w:val="both"/>
        <w:rPr>
          <w:rFonts w:ascii="Garamond" w:hAnsi="Garamond"/>
        </w:rPr>
      </w:pPr>
      <w:r w:rsidRPr="00601D21">
        <w:rPr>
          <w:rFonts w:ascii="Garamond" w:hAnsi="Garamond"/>
          <w:b/>
          <w:bCs/>
        </w:rPr>
        <w:t>VISTA</w:t>
      </w:r>
      <w:r w:rsidRPr="779896F3">
        <w:rPr>
          <w:rFonts w:ascii="Garamond" w:hAnsi="Garamond"/>
        </w:rPr>
        <w:t xml:space="preserve"> la Circolare RGS n</w:t>
      </w:r>
      <w:r w:rsidR="009A57F1">
        <w:rPr>
          <w:rFonts w:ascii="Garamond" w:hAnsi="Garamond"/>
        </w:rPr>
        <w:t>.</w:t>
      </w:r>
      <w:r w:rsidRPr="779896F3">
        <w:rPr>
          <w:rFonts w:ascii="Garamond" w:hAnsi="Garamond"/>
        </w:rPr>
        <w:t xml:space="preserve"> </w:t>
      </w:r>
      <w:r>
        <w:rPr>
          <w:rFonts w:ascii="Garamond" w:hAnsi="Garamond"/>
        </w:rPr>
        <w:t>6</w:t>
      </w:r>
      <w:r w:rsidRPr="779896F3">
        <w:rPr>
          <w:rFonts w:ascii="Garamond" w:hAnsi="Garamond"/>
        </w:rPr>
        <w:t xml:space="preserve"> del</w:t>
      </w:r>
      <w:r>
        <w:rPr>
          <w:rFonts w:ascii="Garamond" w:hAnsi="Garamond"/>
        </w:rPr>
        <w:t xml:space="preserve"> 24 gennaio 2022 </w:t>
      </w:r>
      <w:r w:rsidRPr="779896F3">
        <w:rPr>
          <w:rFonts w:ascii="Garamond" w:hAnsi="Garamond"/>
        </w:rPr>
        <w:t>re</w:t>
      </w:r>
      <w:r>
        <w:rPr>
          <w:rFonts w:ascii="Garamond" w:hAnsi="Garamond"/>
        </w:rPr>
        <w:t xml:space="preserve">lativa ai </w:t>
      </w:r>
      <w:r w:rsidRPr="00CE445B">
        <w:rPr>
          <w:rFonts w:ascii="Garamond" w:hAnsi="Garamond"/>
        </w:rPr>
        <w:t>Servizi di assistenza tecnica</w:t>
      </w:r>
      <w:r>
        <w:rPr>
          <w:rFonts w:ascii="Garamond" w:hAnsi="Garamond"/>
        </w:rPr>
        <w:t xml:space="preserve"> </w:t>
      </w:r>
      <w:r w:rsidRPr="00CE445B">
        <w:rPr>
          <w:rFonts w:ascii="Garamond" w:hAnsi="Garamond"/>
        </w:rPr>
        <w:t>per le Amministrazioni titolari di interventi e soggetti attuatori del PNRR</w:t>
      </w:r>
      <w:r>
        <w:rPr>
          <w:rFonts w:ascii="Garamond" w:hAnsi="Garamond"/>
        </w:rPr>
        <w:t>;</w:t>
      </w:r>
    </w:p>
    <w:p w14:paraId="6B606D34" w14:textId="273A8896" w:rsidR="00885801" w:rsidRPr="0077142B" w:rsidRDefault="00885801" w:rsidP="00B75623">
      <w:pPr>
        <w:jc w:val="both"/>
        <w:rPr>
          <w:rFonts w:ascii="Garamond" w:hAnsi="Garamond"/>
        </w:rPr>
      </w:pPr>
      <w:r w:rsidRPr="00601D21">
        <w:rPr>
          <w:rFonts w:ascii="Garamond" w:hAnsi="Garamond"/>
          <w:b/>
          <w:bCs/>
        </w:rPr>
        <w:t>VISTA</w:t>
      </w:r>
      <w:r w:rsidRPr="779896F3">
        <w:rPr>
          <w:rFonts w:ascii="Garamond" w:hAnsi="Garamond"/>
        </w:rPr>
        <w:t xml:space="preserve"> la Circolare RGS n</w:t>
      </w:r>
      <w:r w:rsidR="00145A98">
        <w:rPr>
          <w:rFonts w:ascii="Garamond" w:hAnsi="Garamond"/>
        </w:rPr>
        <w:t>.</w:t>
      </w:r>
      <w:r w:rsidRPr="779896F3">
        <w:rPr>
          <w:rFonts w:ascii="Garamond" w:hAnsi="Garamond"/>
        </w:rPr>
        <w:t xml:space="preserve"> 26 del 14 giugno 2022 recante indicazioni sulle attività di Rendicontazione</w:t>
      </w:r>
      <w:r w:rsidR="008B2A4B">
        <w:rPr>
          <w:rFonts w:ascii="Garamond" w:hAnsi="Garamond"/>
        </w:rPr>
        <w:t xml:space="preserve"> di</w:t>
      </w:r>
      <w:r w:rsidRPr="779896F3">
        <w:rPr>
          <w:rFonts w:ascii="Garamond" w:hAnsi="Garamond"/>
        </w:rPr>
        <w:t xml:space="preserve"> Milestone/Target</w:t>
      </w:r>
      <w:r w:rsidR="00A92049">
        <w:rPr>
          <w:rFonts w:ascii="Garamond" w:hAnsi="Garamond"/>
        </w:rPr>
        <w:t>;</w:t>
      </w:r>
    </w:p>
    <w:p w14:paraId="6696932F" w14:textId="3C06C3A6" w:rsidR="00EE1EC4" w:rsidRDefault="00BA2F46" w:rsidP="00B75623">
      <w:pPr>
        <w:jc w:val="both"/>
        <w:rPr>
          <w:rFonts w:ascii="Garamond" w:hAnsi="Garamond"/>
          <w:b/>
          <w:bCs/>
        </w:rPr>
      </w:pPr>
      <w:r w:rsidRPr="00601D21">
        <w:rPr>
          <w:rFonts w:ascii="Garamond" w:hAnsi="Garamond"/>
          <w:b/>
          <w:bCs/>
        </w:rPr>
        <w:t>VISTA</w:t>
      </w:r>
      <w:r w:rsidRPr="779896F3">
        <w:rPr>
          <w:rFonts w:ascii="Garamond" w:hAnsi="Garamond"/>
        </w:rPr>
        <w:t xml:space="preserve"> la C</w:t>
      </w:r>
      <w:r w:rsidRPr="00601D21">
        <w:rPr>
          <w:rFonts w:ascii="Garamond" w:hAnsi="Garamond"/>
        </w:rPr>
        <w:t xml:space="preserve">ircolare </w:t>
      </w:r>
      <w:r w:rsidRPr="779896F3">
        <w:rPr>
          <w:rFonts w:ascii="Garamond" w:hAnsi="Garamond"/>
        </w:rPr>
        <w:t xml:space="preserve">RGS </w:t>
      </w:r>
      <w:r w:rsidRPr="00601D21">
        <w:rPr>
          <w:rFonts w:ascii="Garamond" w:hAnsi="Garamond"/>
        </w:rPr>
        <w:t>n</w:t>
      </w:r>
      <w:r w:rsidR="00391A3F">
        <w:rPr>
          <w:rFonts w:ascii="Garamond" w:hAnsi="Garamond"/>
        </w:rPr>
        <w:t>.</w:t>
      </w:r>
      <w:r w:rsidRPr="00601D21">
        <w:rPr>
          <w:rFonts w:ascii="Garamond" w:hAnsi="Garamond"/>
        </w:rPr>
        <w:t xml:space="preserve"> 27 del 21 giugno 2022</w:t>
      </w:r>
      <w:r w:rsidRPr="779896F3">
        <w:rPr>
          <w:rFonts w:ascii="Garamond" w:hAnsi="Garamond"/>
        </w:rPr>
        <w:t xml:space="preserve"> recante indicazioni sulle attività di Monitoraggio delle Misure PNRR, </w:t>
      </w:r>
      <w:r w:rsidR="00643F3F">
        <w:rPr>
          <w:rStyle w:val="normaltextrun"/>
          <w:rFonts w:ascii="Garamond" w:hAnsi="Garamond" w:cs="Segoe UI"/>
        </w:rPr>
        <w:t>nonch</w:t>
      </w:r>
      <w:r w:rsidR="00CB65E4">
        <w:rPr>
          <w:rStyle w:val="normaltextrun"/>
          <w:rFonts w:ascii="Garamond" w:hAnsi="Garamond" w:cs="Segoe UI"/>
        </w:rPr>
        <w:t>é</w:t>
      </w:r>
      <w:r w:rsidRPr="006C7F59">
        <w:rPr>
          <w:rStyle w:val="normaltextrun"/>
          <w:rFonts w:ascii="Garamond" w:hAnsi="Garamond" w:cs="Segoe UI"/>
        </w:rPr>
        <w:t xml:space="preserve"> le “Linee Guida per lo svolgimento delle attività connesse al monitoraggio del PNRR” e il “Protocollo unico di colloquio”</w:t>
      </w:r>
      <w:r w:rsidRPr="006C7F59">
        <w:rPr>
          <w:rFonts w:ascii="Garamond" w:hAnsi="Garamond"/>
        </w:rPr>
        <w:t>;</w:t>
      </w:r>
      <w:r w:rsidR="00EE1EC4" w:rsidRPr="00EE1EC4">
        <w:rPr>
          <w:rFonts w:ascii="Garamond" w:hAnsi="Garamond"/>
          <w:b/>
          <w:bCs/>
        </w:rPr>
        <w:t xml:space="preserve"> </w:t>
      </w:r>
    </w:p>
    <w:p w14:paraId="6B5F3216" w14:textId="39723A75" w:rsidR="00EE1EC4" w:rsidRPr="00EE1EC4" w:rsidRDefault="00EE1EC4" w:rsidP="00B75623">
      <w:pPr>
        <w:jc w:val="both"/>
        <w:rPr>
          <w:rFonts w:ascii="Garamond" w:hAnsi="Garamond"/>
        </w:rPr>
      </w:pPr>
      <w:r w:rsidRPr="0077142B">
        <w:rPr>
          <w:rFonts w:ascii="Garamond" w:hAnsi="Garamond"/>
          <w:b/>
          <w:bCs/>
        </w:rPr>
        <w:t>VIST</w:t>
      </w:r>
      <w:r>
        <w:rPr>
          <w:rFonts w:ascii="Garamond" w:hAnsi="Garamond"/>
          <w:b/>
          <w:bCs/>
        </w:rPr>
        <w:t>A</w:t>
      </w:r>
      <w:r w:rsidRPr="00EE1EC4">
        <w:rPr>
          <w:rFonts w:ascii="Garamond" w:hAnsi="Garamond"/>
        </w:rPr>
        <w:t xml:space="preserve"> </w:t>
      </w:r>
      <w:r>
        <w:rPr>
          <w:rFonts w:ascii="Garamond" w:hAnsi="Garamond"/>
        </w:rPr>
        <w:t xml:space="preserve">la </w:t>
      </w:r>
      <w:r w:rsidRPr="00EE1EC4">
        <w:rPr>
          <w:rFonts w:ascii="Garamond" w:hAnsi="Garamond"/>
        </w:rPr>
        <w:t xml:space="preserve">Circolare </w:t>
      </w:r>
      <w:r w:rsidR="00A553CB">
        <w:rPr>
          <w:rFonts w:ascii="Garamond" w:hAnsi="Garamond"/>
        </w:rPr>
        <w:t>RGS</w:t>
      </w:r>
      <w:r w:rsidRPr="00EE1EC4">
        <w:rPr>
          <w:rFonts w:ascii="Garamond" w:hAnsi="Garamond"/>
        </w:rPr>
        <w:t xml:space="preserve"> n. 28 del 4 luglio 2022 su</w:t>
      </w:r>
      <w:r w:rsidR="00F4555B">
        <w:rPr>
          <w:rFonts w:ascii="Garamond" w:hAnsi="Garamond"/>
        </w:rPr>
        <w:t>l</w:t>
      </w:r>
      <w:r w:rsidRPr="00EE1EC4">
        <w:rPr>
          <w:rFonts w:ascii="Garamond" w:hAnsi="Garamond"/>
        </w:rPr>
        <w:t xml:space="preserve"> Controllo di regolarità amministrativa e contabile dei rendiconti di contabilità ordinaria e di contabilità speciale</w:t>
      </w:r>
      <w:r>
        <w:rPr>
          <w:rFonts w:ascii="Garamond" w:hAnsi="Garamond"/>
        </w:rPr>
        <w:t>;</w:t>
      </w:r>
    </w:p>
    <w:p w14:paraId="3FDB324F" w14:textId="7378119C" w:rsidR="00885801" w:rsidRDefault="00885801" w:rsidP="00D64458">
      <w:pPr>
        <w:jc w:val="both"/>
        <w:rPr>
          <w:rFonts w:ascii="Garamond" w:hAnsi="Garamond"/>
        </w:rPr>
      </w:pPr>
      <w:r w:rsidRPr="00601D21">
        <w:rPr>
          <w:rFonts w:ascii="Garamond" w:hAnsi="Garamond"/>
          <w:b/>
          <w:bCs/>
        </w:rPr>
        <w:t>VISTA</w:t>
      </w:r>
      <w:r w:rsidRPr="779896F3">
        <w:rPr>
          <w:rFonts w:ascii="Garamond" w:hAnsi="Garamond"/>
        </w:rPr>
        <w:t xml:space="preserve"> la Circolare RGS n</w:t>
      </w:r>
      <w:r w:rsidR="00CB1FCF">
        <w:rPr>
          <w:rFonts w:ascii="Garamond" w:hAnsi="Garamond"/>
        </w:rPr>
        <w:t>.</w:t>
      </w:r>
      <w:r w:rsidRPr="779896F3">
        <w:rPr>
          <w:rFonts w:ascii="Garamond" w:hAnsi="Garamond"/>
        </w:rPr>
        <w:t xml:space="preserve"> </w:t>
      </w:r>
      <w:r>
        <w:rPr>
          <w:rFonts w:ascii="Garamond" w:hAnsi="Garamond"/>
        </w:rPr>
        <w:t>29</w:t>
      </w:r>
      <w:r w:rsidRPr="779896F3">
        <w:rPr>
          <w:rFonts w:ascii="Garamond" w:hAnsi="Garamond"/>
        </w:rPr>
        <w:t xml:space="preserve"> del </w:t>
      </w:r>
      <w:r>
        <w:rPr>
          <w:rFonts w:ascii="Garamond" w:hAnsi="Garamond"/>
        </w:rPr>
        <w:t>26</w:t>
      </w:r>
      <w:r w:rsidRPr="779896F3">
        <w:rPr>
          <w:rFonts w:ascii="Garamond" w:hAnsi="Garamond"/>
        </w:rPr>
        <w:t xml:space="preserve"> </w:t>
      </w:r>
      <w:r>
        <w:rPr>
          <w:rFonts w:ascii="Garamond" w:hAnsi="Garamond"/>
        </w:rPr>
        <w:t xml:space="preserve">luglio </w:t>
      </w:r>
      <w:r w:rsidRPr="779896F3">
        <w:rPr>
          <w:rFonts w:ascii="Garamond" w:hAnsi="Garamond"/>
        </w:rPr>
        <w:t xml:space="preserve">2022 recante indicazioni sulle </w:t>
      </w:r>
      <w:r>
        <w:rPr>
          <w:rFonts w:ascii="Garamond" w:hAnsi="Garamond"/>
        </w:rPr>
        <w:t>procedure finanziarie PNRR;</w:t>
      </w:r>
    </w:p>
    <w:p w14:paraId="5BF50892" w14:textId="61A49FE5" w:rsidR="00885801" w:rsidRDefault="00885801" w:rsidP="0007508C">
      <w:pPr>
        <w:jc w:val="both"/>
        <w:rPr>
          <w:rFonts w:ascii="Garamond" w:hAnsi="Garamond"/>
        </w:rPr>
      </w:pPr>
      <w:r w:rsidRPr="00601D21">
        <w:rPr>
          <w:rFonts w:ascii="Garamond" w:hAnsi="Garamond"/>
          <w:b/>
          <w:bCs/>
        </w:rPr>
        <w:t>VISTA</w:t>
      </w:r>
      <w:r w:rsidRPr="779896F3">
        <w:rPr>
          <w:rFonts w:ascii="Garamond" w:hAnsi="Garamond"/>
        </w:rPr>
        <w:t xml:space="preserve"> la Circolare RGS n</w:t>
      </w:r>
      <w:r w:rsidR="00CB1FCF">
        <w:rPr>
          <w:rFonts w:ascii="Garamond" w:hAnsi="Garamond"/>
        </w:rPr>
        <w:t>.</w:t>
      </w:r>
      <w:r w:rsidR="0012362F">
        <w:rPr>
          <w:rFonts w:ascii="Garamond" w:hAnsi="Garamond"/>
        </w:rPr>
        <w:t xml:space="preserve"> </w:t>
      </w:r>
      <w:r w:rsidR="00C63461">
        <w:rPr>
          <w:rFonts w:ascii="Garamond" w:hAnsi="Garamond"/>
        </w:rPr>
        <w:t>30</w:t>
      </w:r>
      <w:r w:rsidRPr="779896F3">
        <w:rPr>
          <w:rFonts w:ascii="Garamond" w:hAnsi="Garamond"/>
        </w:rPr>
        <w:t xml:space="preserve"> del</w:t>
      </w:r>
      <w:r w:rsidR="00C63461">
        <w:rPr>
          <w:rFonts w:ascii="Garamond" w:hAnsi="Garamond"/>
        </w:rPr>
        <w:t>l’</w:t>
      </w:r>
      <w:r w:rsidRPr="779896F3">
        <w:rPr>
          <w:rFonts w:ascii="Garamond" w:hAnsi="Garamond"/>
        </w:rPr>
        <w:t>1</w:t>
      </w:r>
      <w:r>
        <w:rPr>
          <w:rFonts w:ascii="Garamond" w:hAnsi="Garamond"/>
        </w:rPr>
        <w:t>1</w:t>
      </w:r>
      <w:r w:rsidRPr="779896F3">
        <w:rPr>
          <w:rFonts w:ascii="Garamond" w:hAnsi="Garamond"/>
        </w:rPr>
        <w:t xml:space="preserve"> </w:t>
      </w:r>
      <w:r>
        <w:rPr>
          <w:rFonts w:ascii="Garamond" w:hAnsi="Garamond"/>
        </w:rPr>
        <w:t xml:space="preserve">agosto </w:t>
      </w:r>
      <w:r w:rsidRPr="779896F3">
        <w:rPr>
          <w:rFonts w:ascii="Garamond" w:hAnsi="Garamond"/>
        </w:rPr>
        <w:t xml:space="preserve">2022 recante indicazioni sulle </w:t>
      </w:r>
      <w:r>
        <w:rPr>
          <w:rFonts w:ascii="Garamond" w:hAnsi="Garamond"/>
        </w:rPr>
        <w:t>procedure di controllo e rendicontazione delle misure PNRR;</w:t>
      </w:r>
    </w:p>
    <w:p w14:paraId="03970483" w14:textId="451F72CF" w:rsidR="0021133C" w:rsidRDefault="0021133C" w:rsidP="0007508C">
      <w:pPr>
        <w:jc w:val="both"/>
        <w:rPr>
          <w:rFonts w:ascii="Garamond" w:hAnsi="Garamond"/>
        </w:rPr>
      </w:pPr>
      <w:r w:rsidRPr="006828D1">
        <w:rPr>
          <w:rFonts w:ascii="Garamond" w:hAnsi="Garamond"/>
          <w:b/>
          <w:bCs/>
        </w:rPr>
        <w:t>VISTA</w:t>
      </w:r>
      <w:r w:rsidRPr="006828D1">
        <w:rPr>
          <w:rFonts w:ascii="Garamond" w:hAnsi="Garamond"/>
        </w:rPr>
        <w:t xml:space="preserve"> la Circolare RGS n.34 del giorno 17 ottobre 2022 recante le “Linee guida metodologiche per la rendicontazione degli indicatori comuni per il Piano nazionale di ripresa e resilienza”;</w:t>
      </w:r>
    </w:p>
    <w:p w14:paraId="5E0BB14C" w14:textId="42C4B34E" w:rsidR="00A553CB" w:rsidRDefault="00A553CB" w:rsidP="0007508C">
      <w:pPr>
        <w:jc w:val="both"/>
        <w:rPr>
          <w:rFonts w:ascii="Garamond" w:hAnsi="Garamond"/>
        </w:rPr>
      </w:pPr>
      <w:r w:rsidRPr="00A553CB">
        <w:rPr>
          <w:rFonts w:ascii="Garamond" w:hAnsi="Garamond"/>
          <w:b/>
          <w:bCs/>
        </w:rPr>
        <w:t>RILEVATO</w:t>
      </w:r>
      <w:r>
        <w:rPr>
          <w:rFonts w:ascii="Garamond" w:hAnsi="Garamond"/>
        </w:rPr>
        <w:t xml:space="preserve"> che</w:t>
      </w:r>
      <w:r w:rsidR="0096094E">
        <w:rPr>
          <w:rFonts w:ascii="Garamond" w:hAnsi="Garamond"/>
        </w:rPr>
        <w:t>,</w:t>
      </w:r>
      <w:r>
        <w:rPr>
          <w:rFonts w:ascii="Garamond" w:hAnsi="Garamond"/>
        </w:rPr>
        <w:t xml:space="preserve"> come stabilito dalla </w:t>
      </w:r>
      <w:r w:rsidRPr="779896F3">
        <w:rPr>
          <w:rFonts w:ascii="Garamond" w:hAnsi="Garamond"/>
        </w:rPr>
        <w:t>C</w:t>
      </w:r>
      <w:r w:rsidRPr="00601D21">
        <w:rPr>
          <w:rFonts w:ascii="Garamond" w:hAnsi="Garamond"/>
        </w:rPr>
        <w:t xml:space="preserve">ircolare </w:t>
      </w:r>
      <w:r w:rsidRPr="779896F3">
        <w:rPr>
          <w:rFonts w:ascii="Garamond" w:hAnsi="Garamond"/>
        </w:rPr>
        <w:t xml:space="preserve">RGS </w:t>
      </w:r>
      <w:r w:rsidRPr="00601D21">
        <w:rPr>
          <w:rFonts w:ascii="Garamond" w:hAnsi="Garamond"/>
        </w:rPr>
        <w:t>n</w:t>
      </w:r>
      <w:r w:rsidR="0096094E">
        <w:rPr>
          <w:rFonts w:ascii="Garamond" w:hAnsi="Garamond"/>
        </w:rPr>
        <w:t>.</w:t>
      </w:r>
      <w:r w:rsidRPr="00601D21">
        <w:rPr>
          <w:rFonts w:ascii="Garamond" w:hAnsi="Garamond"/>
        </w:rPr>
        <w:t xml:space="preserve"> 27 del 21 giugno 2022</w:t>
      </w:r>
      <w:r w:rsidR="0096094E">
        <w:rPr>
          <w:rFonts w:ascii="Garamond" w:hAnsi="Garamond"/>
        </w:rPr>
        <w:t>,</w:t>
      </w:r>
      <w:r w:rsidRPr="779896F3">
        <w:rPr>
          <w:rFonts w:ascii="Garamond" w:hAnsi="Garamond"/>
        </w:rPr>
        <w:t xml:space="preserve"> recante indicazioni sulle attività di Monitoraggio delle Misure PNRR, </w:t>
      </w:r>
      <w:r w:rsidR="0096094E">
        <w:rPr>
          <w:rStyle w:val="normaltextrun"/>
          <w:rFonts w:ascii="Garamond" w:hAnsi="Garamond" w:cs="Segoe UI"/>
        </w:rPr>
        <w:t>nonch</w:t>
      </w:r>
      <w:r w:rsidR="00CB65E4">
        <w:rPr>
          <w:rStyle w:val="normaltextrun"/>
          <w:rFonts w:ascii="Garamond" w:hAnsi="Garamond" w:cs="Segoe UI"/>
        </w:rPr>
        <w:t>é</w:t>
      </w:r>
      <w:r w:rsidRPr="006C7F59">
        <w:rPr>
          <w:rStyle w:val="normaltextrun"/>
          <w:rFonts w:ascii="Garamond" w:hAnsi="Garamond" w:cs="Segoe UI"/>
        </w:rPr>
        <w:t xml:space="preserve"> le “Linee Guida per lo svolgimento delle attività connesse al monitoraggio del PNRR” e il “Protocollo unico di colloquio</w:t>
      </w:r>
      <w:r w:rsidR="00475DDB">
        <w:rPr>
          <w:rStyle w:val="normaltextrun"/>
          <w:rFonts w:ascii="Garamond" w:hAnsi="Garamond" w:cs="Segoe UI"/>
        </w:rPr>
        <w:t>”,</w:t>
      </w:r>
      <w:r>
        <w:rPr>
          <w:rFonts w:ascii="Garamond" w:hAnsi="Garamond"/>
        </w:rPr>
        <w:t xml:space="preserve"> “</w:t>
      </w:r>
      <w:r w:rsidRPr="00A553CB">
        <w:rPr>
          <w:rFonts w:ascii="Garamond" w:hAnsi="Garamond"/>
          <w:i/>
          <w:iCs/>
        </w:rPr>
        <w:t>il sistema Re</w:t>
      </w:r>
      <w:r>
        <w:rPr>
          <w:rFonts w:ascii="Garamond" w:hAnsi="Garamond"/>
          <w:i/>
          <w:iCs/>
        </w:rPr>
        <w:t>G</w:t>
      </w:r>
      <w:r w:rsidRPr="00A553CB">
        <w:rPr>
          <w:rFonts w:ascii="Garamond" w:hAnsi="Garamond"/>
          <w:i/>
          <w:iCs/>
        </w:rPr>
        <w:t>i</w:t>
      </w:r>
      <w:r>
        <w:rPr>
          <w:rFonts w:ascii="Garamond" w:hAnsi="Garamond"/>
          <w:i/>
          <w:iCs/>
        </w:rPr>
        <w:t>S</w:t>
      </w:r>
      <w:r w:rsidRPr="00A553CB">
        <w:rPr>
          <w:rFonts w:ascii="Garamond" w:hAnsi="Garamond"/>
          <w:i/>
          <w:iCs/>
        </w:rPr>
        <w:t xml:space="preserve"> rappresenta la modalità unica attraverso cui le Amministrazioni interessate a livello centrale e territoriale potranno adempiere agli obblighi di monitoraggio, rendicontazione e controllo delle misure e dei progetti finanziati dal PNRR, ivi compresa la rilevazione dei flussi finanziari a valere sui conti di tesoreria NGEU-Italia appositamente attivati per la gestione degli interventi PNRR</w:t>
      </w:r>
      <w:r>
        <w:rPr>
          <w:rFonts w:ascii="Garamond" w:hAnsi="Garamond"/>
          <w:i/>
          <w:iCs/>
        </w:rPr>
        <w:t xml:space="preserve"> nonché sulle contabilità speciali intestate alle Amministrazioni centrali in quanto soggetti titolari e/o Soggetti attuatori del Fondo Next generation Eu gestito dal Ministero dell’economia e delle finanze – Dipartimento della ragioneria Generale dello Stato -Servizio centrale per il PNRR”</w:t>
      </w:r>
      <w:r>
        <w:rPr>
          <w:rFonts w:ascii="Garamond" w:hAnsi="Garamond"/>
        </w:rPr>
        <w:t xml:space="preserve"> e che “</w:t>
      </w:r>
      <w:r>
        <w:rPr>
          <w:rFonts w:ascii="Garamond" w:hAnsi="Garamond"/>
          <w:i/>
          <w:iCs/>
        </w:rPr>
        <w:t xml:space="preserve">l’alimentazione del sistema ReGiS per i dati di monitoraggio dei progetti può avvenire utilizzando, alternativamente, quest’ultimo come proprio sistema gestionale o attraverso l’acquisizione automatica delle informazioni garantita da un protocollo unico di colloquio che disciplina l’interoperabilità del sistema </w:t>
      </w:r>
      <w:r w:rsidR="00D64458">
        <w:rPr>
          <w:rFonts w:ascii="Garamond" w:hAnsi="Garamond"/>
          <w:i/>
          <w:iCs/>
        </w:rPr>
        <w:t>R</w:t>
      </w:r>
      <w:r>
        <w:rPr>
          <w:rFonts w:ascii="Garamond" w:hAnsi="Garamond"/>
          <w:i/>
          <w:iCs/>
        </w:rPr>
        <w:t>eGiS con i sistemi informativi locali”</w:t>
      </w:r>
      <w:r>
        <w:rPr>
          <w:rFonts w:ascii="Garamond" w:hAnsi="Garamond"/>
        </w:rPr>
        <w:t>;</w:t>
      </w:r>
    </w:p>
    <w:p w14:paraId="36E43730" w14:textId="0F1F9826" w:rsidR="00764DB3" w:rsidRPr="00A553CB" w:rsidRDefault="00764DB3" w:rsidP="00B75623">
      <w:pPr>
        <w:jc w:val="both"/>
        <w:rPr>
          <w:rFonts w:ascii="Garamond" w:hAnsi="Garamond"/>
        </w:rPr>
      </w:pPr>
      <w:r w:rsidRPr="00764DB3">
        <w:rPr>
          <w:rFonts w:ascii="Garamond" w:hAnsi="Garamond"/>
          <w:b/>
          <w:bCs/>
        </w:rPr>
        <w:t>RILEVATO</w:t>
      </w:r>
      <w:r>
        <w:rPr>
          <w:rFonts w:ascii="Garamond" w:hAnsi="Garamond"/>
        </w:rPr>
        <w:t xml:space="preserve"> che</w:t>
      </w:r>
      <w:r w:rsidR="00ED0EA1">
        <w:rPr>
          <w:rFonts w:ascii="Garamond" w:hAnsi="Garamond"/>
        </w:rPr>
        <w:t>,</w:t>
      </w:r>
      <w:r>
        <w:rPr>
          <w:rFonts w:ascii="Garamond" w:hAnsi="Garamond"/>
        </w:rPr>
        <w:t xml:space="preserve"> come stabilito dalla </w:t>
      </w:r>
      <w:r w:rsidRPr="779896F3">
        <w:rPr>
          <w:rFonts w:ascii="Garamond" w:hAnsi="Garamond"/>
        </w:rPr>
        <w:t>C</w:t>
      </w:r>
      <w:r w:rsidRPr="00601D21">
        <w:rPr>
          <w:rFonts w:ascii="Garamond" w:hAnsi="Garamond"/>
        </w:rPr>
        <w:t xml:space="preserve">ircolare </w:t>
      </w:r>
      <w:r w:rsidRPr="779896F3">
        <w:rPr>
          <w:rFonts w:ascii="Garamond" w:hAnsi="Garamond"/>
        </w:rPr>
        <w:t xml:space="preserve">RGS </w:t>
      </w:r>
      <w:r w:rsidRPr="00601D21">
        <w:rPr>
          <w:rFonts w:ascii="Garamond" w:hAnsi="Garamond"/>
        </w:rPr>
        <w:t>n</w:t>
      </w:r>
      <w:r w:rsidR="00ED0EA1">
        <w:rPr>
          <w:rFonts w:ascii="Garamond" w:hAnsi="Garamond"/>
        </w:rPr>
        <w:t>.</w:t>
      </w:r>
      <w:r w:rsidRPr="00601D21">
        <w:rPr>
          <w:rFonts w:ascii="Garamond" w:hAnsi="Garamond"/>
        </w:rPr>
        <w:t xml:space="preserve"> 27 del 21 giugno 2022</w:t>
      </w:r>
      <w:r w:rsidRPr="779896F3">
        <w:rPr>
          <w:rFonts w:ascii="Garamond" w:hAnsi="Garamond"/>
        </w:rPr>
        <w:t xml:space="preserve"> recante indicazioni sulle attività di Monitoraggio delle Misure PNRR, </w:t>
      </w:r>
      <w:r w:rsidR="00ED0EA1">
        <w:rPr>
          <w:rStyle w:val="normaltextrun"/>
          <w:rFonts w:ascii="Garamond" w:hAnsi="Garamond" w:cs="Segoe UI"/>
        </w:rPr>
        <w:t>nonch</w:t>
      </w:r>
      <w:r w:rsidR="00CB65E4">
        <w:rPr>
          <w:rStyle w:val="normaltextrun"/>
          <w:rFonts w:ascii="Garamond" w:hAnsi="Garamond" w:cs="Segoe UI"/>
        </w:rPr>
        <w:t>é</w:t>
      </w:r>
      <w:r w:rsidRPr="006C7F59">
        <w:rPr>
          <w:rStyle w:val="normaltextrun"/>
          <w:rFonts w:ascii="Garamond" w:hAnsi="Garamond" w:cs="Segoe UI"/>
        </w:rPr>
        <w:t xml:space="preserve"> le “Linee Guida per lo svolgimento delle attività connesse al monitoraggio del PNRR” e il “Protocollo unico di colloquio</w:t>
      </w:r>
      <w:r>
        <w:rPr>
          <w:rStyle w:val="normaltextrun"/>
          <w:rFonts w:ascii="Garamond" w:hAnsi="Garamond" w:cs="Segoe UI"/>
        </w:rPr>
        <w:t>”</w:t>
      </w:r>
      <w:r w:rsidR="00BB494B">
        <w:rPr>
          <w:rStyle w:val="normaltextrun"/>
          <w:rFonts w:ascii="Garamond" w:hAnsi="Garamond" w:cs="Segoe UI"/>
        </w:rPr>
        <w:t>,</w:t>
      </w:r>
      <w:r>
        <w:rPr>
          <w:rStyle w:val="normaltextrun"/>
          <w:rFonts w:ascii="Garamond" w:hAnsi="Garamond" w:cs="Segoe UI"/>
        </w:rPr>
        <w:t xml:space="preserve"> “</w:t>
      </w:r>
      <w:r w:rsidRPr="00764DB3">
        <w:rPr>
          <w:rStyle w:val="normaltextrun"/>
          <w:rFonts w:ascii="Garamond" w:hAnsi="Garamond" w:cs="Segoe UI"/>
          <w:i/>
          <w:iCs/>
        </w:rPr>
        <w:t>i soggetti attuator</w:t>
      </w:r>
      <w:r w:rsidR="000B6F47">
        <w:rPr>
          <w:rStyle w:val="normaltextrun"/>
          <w:rFonts w:ascii="Garamond" w:hAnsi="Garamond" w:cs="Segoe UI"/>
          <w:i/>
          <w:iCs/>
        </w:rPr>
        <w:t>i</w:t>
      </w:r>
      <w:r w:rsidRPr="00764DB3">
        <w:rPr>
          <w:rStyle w:val="normaltextrun"/>
          <w:rFonts w:ascii="Garamond" w:hAnsi="Garamond" w:cs="Segoe UI"/>
          <w:i/>
          <w:iCs/>
        </w:rPr>
        <w:t xml:space="preserve"> sono responsabili della corretta alimentazione del ReGiS con i dati di programmazione ed attuazione finanziaria, fisica e procedurale relativi ai progetti di propria competenza</w:t>
      </w:r>
      <w:r>
        <w:rPr>
          <w:rStyle w:val="normaltextrun"/>
          <w:rFonts w:ascii="Garamond" w:hAnsi="Garamond" w:cs="Segoe UI"/>
        </w:rPr>
        <w:t>”;</w:t>
      </w:r>
    </w:p>
    <w:p w14:paraId="29FE28D2" w14:textId="29C75FE5" w:rsidR="00DB6020" w:rsidRPr="0077142B" w:rsidRDefault="49F161EF" w:rsidP="00B75623">
      <w:pPr>
        <w:jc w:val="both"/>
        <w:rPr>
          <w:rFonts w:ascii="Garamond" w:hAnsi="Garamond"/>
        </w:rPr>
      </w:pPr>
      <w:r w:rsidRPr="55765628">
        <w:rPr>
          <w:rFonts w:ascii="Garamond" w:hAnsi="Garamond"/>
          <w:b/>
          <w:bCs/>
        </w:rPr>
        <w:t>RITENUTO</w:t>
      </w:r>
      <w:r w:rsidRPr="55765628">
        <w:rPr>
          <w:rFonts w:ascii="Garamond" w:hAnsi="Garamond"/>
        </w:rPr>
        <w:t xml:space="preserve"> di poter conseguire le finalità dell</w:t>
      </w:r>
      <w:r w:rsidR="00D64458">
        <w:rPr>
          <w:rFonts w:ascii="Garamond" w:hAnsi="Garamond"/>
        </w:rPr>
        <w:t>’Investimento</w:t>
      </w:r>
      <w:r w:rsidR="354B0B22" w:rsidRPr="55765628">
        <w:rPr>
          <w:rFonts w:ascii="Garamond" w:hAnsi="Garamond"/>
        </w:rPr>
        <w:t xml:space="preserve"> </w:t>
      </w:r>
      <w:r w:rsidRPr="55765628">
        <w:rPr>
          <w:rFonts w:ascii="Garamond" w:hAnsi="Garamond"/>
        </w:rPr>
        <w:t xml:space="preserve">mediante la sottoscrizione di un accordo che disciplini lo svolgimento in collaborazione delle attività di interesse comune e che includa la chiara ripartizione delle responsabilità ed obblighi connessi alla </w:t>
      </w:r>
      <w:r w:rsidR="354B0B22" w:rsidRPr="55765628">
        <w:rPr>
          <w:rFonts w:ascii="Garamond" w:hAnsi="Garamond"/>
        </w:rPr>
        <w:t xml:space="preserve">programmazione, selezione, </w:t>
      </w:r>
      <w:r w:rsidRPr="55765628">
        <w:rPr>
          <w:rFonts w:ascii="Garamond" w:hAnsi="Garamond"/>
        </w:rPr>
        <w:t>gestione, controllo, rendicontazione</w:t>
      </w:r>
      <w:r w:rsidR="354B0B22" w:rsidRPr="55765628">
        <w:rPr>
          <w:rFonts w:ascii="Garamond" w:hAnsi="Garamond"/>
        </w:rPr>
        <w:t>, monitoraggio</w:t>
      </w:r>
      <w:r w:rsidRPr="55765628">
        <w:rPr>
          <w:rFonts w:ascii="Garamond" w:hAnsi="Garamond"/>
        </w:rPr>
        <w:t xml:space="preserve"> in adempimento a quanto prescritto dalla regolamentazione comunitaria di riferimento e decreto legge del 31 maggio 2021, n. 77, convertito con modificazioni dalla legge di conversione del 29 luglio 2021, n. 108, </w:t>
      </w:r>
      <w:r w:rsidRPr="00E83448">
        <w:rPr>
          <w:rFonts w:ascii="Garamond" w:hAnsi="Garamond"/>
        </w:rPr>
        <w:t xml:space="preserve">e </w:t>
      </w:r>
      <w:r w:rsidR="354B0B22" w:rsidRPr="00E83448">
        <w:rPr>
          <w:rFonts w:ascii="Garamond" w:hAnsi="Garamond"/>
        </w:rPr>
        <w:t>nel rispetto de</w:t>
      </w:r>
      <w:r w:rsidRPr="00E83448">
        <w:rPr>
          <w:rFonts w:ascii="Garamond" w:hAnsi="Garamond"/>
        </w:rPr>
        <w:t>l Sistema di gestione e controllo del PNRR</w:t>
      </w:r>
      <w:r w:rsidR="00E83448" w:rsidRPr="00E83448">
        <w:rPr>
          <w:rFonts w:ascii="Garamond" w:hAnsi="Garamond"/>
        </w:rPr>
        <w:t xml:space="preserve"> del Ministero del lavoro e delle </w:t>
      </w:r>
      <w:r w:rsidR="00E83448">
        <w:rPr>
          <w:rFonts w:ascii="Garamond" w:hAnsi="Garamond"/>
        </w:rPr>
        <w:t>p</w:t>
      </w:r>
      <w:r w:rsidR="00E83448" w:rsidRPr="00E83448">
        <w:rPr>
          <w:rFonts w:ascii="Garamond" w:hAnsi="Garamond"/>
        </w:rPr>
        <w:t xml:space="preserve">olitiche </w:t>
      </w:r>
      <w:r w:rsidR="00E83448">
        <w:rPr>
          <w:rFonts w:ascii="Garamond" w:hAnsi="Garamond"/>
        </w:rPr>
        <w:t>s</w:t>
      </w:r>
      <w:r w:rsidR="00E83448" w:rsidRPr="00E83448">
        <w:rPr>
          <w:rFonts w:ascii="Garamond" w:hAnsi="Garamond"/>
        </w:rPr>
        <w:t>ociali</w:t>
      </w:r>
      <w:r w:rsidRPr="00E83448">
        <w:rPr>
          <w:rFonts w:ascii="Garamond" w:hAnsi="Garamond"/>
        </w:rPr>
        <w:t>;</w:t>
      </w:r>
    </w:p>
    <w:p w14:paraId="4F0B6E33" w14:textId="77777777" w:rsidR="00F577F8" w:rsidRPr="00F577F8" w:rsidRDefault="00F577F8" w:rsidP="00F577F8">
      <w:pPr>
        <w:jc w:val="both"/>
        <w:rPr>
          <w:rFonts w:ascii="Garamond" w:hAnsi="Garamond"/>
          <w:i/>
          <w:iCs/>
        </w:rPr>
      </w:pPr>
      <w:r w:rsidRPr="00F577F8">
        <w:rPr>
          <w:rFonts w:ascii="Garamond" w:hAnsi="Garamond"/>
          <w:i/>
          <w:iCs/>
        </w:rPr>
        <w:t>Inserire riferimenti normativi peculiari della Regione</w:t>
      </w:r>
      <w:r w:rsidRPr="00F577F8">
        <w:rPr>
          <w:rFonts w:ascii="Garamond" w:hAnsi="Garamond"/>
        </w:rPr>
        <w:t xml:space="preserve">, </w:t>
      </w:r>
      <w:r w:rsidRPr="00F577F8">
        <w:rPr>
          <w:rFonts w:ascii="Garamond" w:hAnsi="Garamond"/>
          <w:i/>
          <w:iCs/>
        </w:rPr>
        <w:t>compreso il presupposto per il coinvolgimento di eventuali altre Amministrazioni coinvolte direttamente nell’implementazione, nonché il riferimento al Documento di programmazione regionale e successive modifiche e integrazioni.</w:t>
      </w:r>
    </w:p>
    <w:p w14:paraId="43E08BFF" w14:textId="1DDA46B7" w:rsidR="001E72D1" w:rsidRPr="001E72D1" w:rsidRDefault="00F577F8" w:rsidP="00F577F8">
      <w:pPr>
        <w:jc w:val="both"/>
        <w:rPr>
          <w:rFonts w:ascii="Garamond" w:hAnsi="Garamond"/>
        </w:rPr>
      </w:pPr>
      <w:r w:rsidRPr="00F577F8">
        <w:rPr>
          <w:rFonts w:ascii="Garamond" w:hAnsi="Garamond"/>
          <w:b/>
          <w:bCs/>
        </w:rPr>
        <w:t>VISTO</w:t>
      </w:r>
      <w:r w:rsidRPr="00F577F8">
        <w:rPr>
          <w:rFonts w:ascii="Garamond" w:hAnsi="Garamond"/>
        </w:rPr>
        <w:t xml:space="preserve"> il Documento di programmazione regionale dell’offerta formativa finanziata dall’Investimento 1.4 del PNRR “Sistema duale”, previo riscontro positivo ricevuto dalla DG Politiche Attive con nota prot. N. ____ del __/__/2022;</w:t>
      </w:r>
    </w:p>
    <w:p w14:paraId="000B9115" w14:textId="7DDE5FD7" w:rsidR="00DB6020" w:rsidRPr="0077142B" w:rsidRDefault="49F161EF" w:rsidP="00D64458">
      <w:pPr>
        <w:jc w:val="both"/>
        <w:rPr>
          <w:rFonts w:ascii="Garamond" w:hAnsi="Garamond"/>
        </w:rPr>
      </w:pPr>
      <w:r w:rsidRPr="55765628">
        <w:rPr>
          <w:rFonts w:ascii="Garamond" w:hAnsi="Garamond"/>
          <w:b/>
          <w:bCs/>
        </w:rPr>
        <w:t>CONSIDERATO</w:t>
      </w:r>
      <w:r w:rsidRPr="55765628">
        <w:rPr>
          <w:rFonts w:ascii="Garamond" w:hAnsi="Garamond"/>
        </w:rPr>
        <w:t xml:space="preserve"> l’articolo 5</w:t>
      </w:r>
      <w:r w:rsidR="00100252">
        <w:rPr>
          <w:rFonts w:ascii="Garamond" w:hAnsi="Garamond"/>
        </w:rPr>
        <w:t>,</w:t>
      </w:r>
      <w:r w:rsidRPr="55765628">
        <w:rPr>
          <w:rFonts w:ascii="Garamond" w:hAnsi="Garamond"/>
        </w:rPr>
        <w:t xml:space="preserve"> comma 6</w:t>
      </w:r>
      <w:r w:rsidR="00100252">
        <w:rPr>
          <w:rFonts w:ascii="Garamond" w:hAnsi="Garamond"/>
        </w:rPr>
        <w:t>,</w:t>
      </w:r>
      <w:r w:rsidRPr="55765628">
        <w:rPr>
          <w:rFonts w:ascii="Garamond" w:hAnsi="Garamond"/>
        </w:rPr>
        <w:t xml:space="preserve"> del decreto legislativo 18 aprile 2016 n. 50, ai sensi del quale il Codice dei contratti pubblici non trova applicazione rispetto ad accordi conclusi esclusivamente tra due o più amministrazioni aggiudicatrici al ricorrere di tutte le condizioni ivi previste;</w:t>
      </w:r>
    </w:p>
    <w:p w14:paraId="0ACBDB43" w14:textId="28CA3848" w:rsidR="00DB6020" w:rsidRPr="0077142B" w:rsidRDefault="00DB6020" w:rsidP="00D64458">
      <w:pPr>
        <w:jc w:val="both"/>
        <w:rPr>
          <w:rFonts w:ascii="Garamond" w:hAnsi="Garamond"/>
        </w:rPr>
      </w:pPr>
      <w:r w:rsidRPr="0077142B">
        <w:rPr>
          <w:rFonts w:ascii="Garamond" w:hAnsi="Garamond"/>
          <w:b/>
          <w:bCs/>
        </w:rPr>
        <w:t>CONSIDERATO</w:t>
      </w:r>
      <w:r w:rsidRPr="0077142B">
        <w:rPr>
          <w:rFonts w:ascii="Garamond" w:hAnsi="Garamond"/>
        </w:rPr>
        <w:t xml:space="preserve"> quanto definito dall’ANAC con delibera n. 567 del 31 maggio 2017, allorquando afferma che “ (…) la disciplina dettata dal citato art. 5, comma 6, del d.lgs. 50/2016, indica in maniera tassativa i limiti entro i quali detti accordi possono essere conclusi, affinché possa ritenersi legittima l’esenzione dal Codice. Si stabilisce, quindi, che la cooperazione deve essere finalizzata al raggiungimento di obiettivi comuni agli enti interessati e che la stessa deve essere retta esclusivamente da considerazioni inerenti all’interesse pubblico”</w:t>
      </w:r>
      <w:r w:rsidR="00EA1102">
        <w:rPr>
          <w:rFonts w:ascii="Garamond" w:hAnsi="Garamond"/>
        </w:rPr>
        <w:t>,</w:t>
      </w:r>
      <w:r w:rsidRPr="0077142B">
        <w:rPr>
          <w:rFonts w:ascii="Garamond" w:hAnsi="Garamond"/>
        </w:rPr>
        <w:t xml:space="preserve"> e che “La norma contempla, quindi, una specifica disciplina degli accordi tra soggetti pubblici, quale istituto già previsto in passato e in linea generale dall’art. 15 della l. 241/1990, ai sensi del quale «anche al di fuori delle ipotesi previste dall’articolo 14, le amministrazioni pubbliche possono sempre concludere tra loro accordi per disciplinare lo svolgimento in collaborazione di attività di interesse comune”. Si tratta, come è evidente, di un modello convenzionale di svolgimento delle pubbliche funzioni, finalizzato alla collaborazione tra amministrazioni pubbliche.”;</w:t>
      </w:r>
    </w:p>
    <w:p w14:paraId="49A75E0C" w14:textId="60B6A9D5" w:rsidR="00DB6020" w:rsidRPr="0077142B" w:rsidRDefault="00DB6020" w:rsidP="001178EF">
      <w:pPr>
        <w:jc w:val="both"/>
        <w:rPr>
          <w:rFonts w:ascii="Garamond" w:hAnsi="Garamond"/>
        </w:rPr>
      </w:pPr>
      <w:r w:rsidRPr="0077142B">
        <w:rPr>
          <w:rFonts w:ascii="Garamond" w:hAnsi="Garamond"/>
          <w:b/>
          <w:bCs/>
        </w:rPr>
        <w:t>CONSIDERATO</w:t>
      </w:r>
      <w:r w:rsidRPr="0077142B">
        <w:rPr>
          <w:rFonts w:ascii="Garamond" w:hAnsi="Garamond"/>
        </w:rPr>
        <w:t>, pertanto, che il fine perseguito è un interesse di natura puramente pubblica a beneficio e vantaggio della collettività, che dall’</w:t>
      </w:r>
      <w:r w:rsidR="00BF3131">
        <w:rPr>
          <w:rFonts w:ascii="Garamond" w:hAnsi="Garamond"/>
        </w:rPr>
        <w:t>A</w:t>
      </w:r>
      <w:r w:rsidRPr="0077142B">
        <w:rPr>
          <w:rFonts w:ascii="Garamond" w:hAnsi="Garamond"/>
        </w:rPr>
        <w:t>ccordo tra le parti discende una reale divisione di compiti e responsabilità in relazione alle rispettive funzioni istituzionali</w:t>
      </w:r>
      <w:r w:rsidR="00BF4C86">
        <w:rPr>
          <w:rFonts w:ascii="Garamond" w:hAnsi="Garamond"/>
        </w:rPr>
        <w:t>,</w:t>
      </w:r>
      <w:r w:rsidRPr="0077142B">
        <w:rPr>
          <w:rFonts w:ascii="Garamond" w:hAnsi="Garamond"/>
        </w:rPr>
        <w:t xml:space="preserve"> e che pertanto </w:t>
      </w:r>
      <w:r w:rsidR="00B063B8" w:rsidRPr="0077142B">
        <w:rPr>
          <w:rFonts w:ascii="Garamond" w:hAnsi="Garamond"/>
        </w:rPr>
        <w:t>tutte</w:t>
      </w:r>
      <w:r w:rsidRPr="0077142B">
        <w:rPr>
          <w:rFonts w:ascii="Garamond" w:hAnsi="Garamond"/>
        </w:rPr>
        <w:t xml:space="preserve"> le Amministrazioni forniranno il proprio rispettivo contributo;</w:t>
      </w:r>
    </w:p>
    <w:p w14:paraId="34CFE1DB" w14:textId="5F93CA9C" w:rsidR="00DB6020" w:rsidRPr="0077142B" w:rsidRDefault="00DB6020" w:rsidP="001178EF">
      <w:pPr>
        <w:jc w:val="both"/>
        <w:rPr>
          <w:rFonts w:ascii="Garamond" w:hAnsi="Garamond"/>
        </w:rPr>
      </w:pPr>
      <w:r w:rsidRPr="0077142B">
        <w:rPr>
          <w:rFonts w:ascii="Garamond" w:hAnsi="Garamond"/>
          <w:b/>
          <w:bCs/>
        </w:rPr>
        <w:t>CONSIDERATO</w:t>
      </w:r>
      <w:r w:rsidRPr="0077142B">
        <w:rPr>
          <w:rFonts w:ascii="Garamond" w:hAnsi="Garamond"/>
        </w:rPr>
        <w:t>, nello specifico, che rappresenta interesse comune delle parti collaborare in funzione della realizzazione del PNRR e che la collaborazione tra le parti risulta essere lo strumento più idoneo per il perseguimento dei reciproci fini istituzionali;</w:t>
      </w:r>
    </w:p>
    <w:p w14:paraId="26184CD3" w14:textId="044FEF48" w:rsidR="00DB6020" w:rsidRPr="0077142B" w:rsidRDefault="49F161EF" w:rsidP="001178EF">
      <w:pPr>
        <w:jc w:val="both"/>
        <w:rPr>
          <w:rFonts w:ascii="Garamond" w:hAnsi="Garamond"/>
        </w:rPr>
      </w:pPr>
      <w:r w:rsidRPr="55765628">
        <w:rPr>
          <w:rFonts w:ascii="Garamond" w:hAnsi="Garamond"/>
          <w:b/>
          <w:bCs/>
        </w:rPr>
        <w:t>CONSIDERATO</w:t>
      </w:r>
      <w:r w:rsidRPr="55765628">
        <w:rPr>
          <w:rFonts w:ascii="Garamond" w:hAnsi="Garamond"/>
        </w:rPr>
        <w:t xml:space="preserve">, altresì, che </w:t>
      </w:r>
      <w:r w:rsidR="004D256D">
        <w:rPr>
          <w:rFonts w:ascii="Garamond" w:hAnsi="Garamond"/>
        </w:rPr>
        <w:t>l’Investimento</w:t>
      </w:r>
      <w:r w:rsidRPr="55765628">
        <w:rPr>
          <w:rFonts w:ascii="Garamond" w:hAnsi="Garamond"/>
        </w:rPr>
        <w:t xml:space="preserve"> è </w:t>
      </w:r>
      <w:r w:rsidR="38FC281B" w:rsidRPr="55765628">
        <w:rPr>
          <w:rFonts w:ascii="Garamond" w:hAnsi="Garamond"/>
        </w:rPr>
        <w:t>conseguit</w:t>
      </w:r>
      <w:r w:rsidR="004D256D">
        <w:rPr>
          <w:rFonts w:ascii="Garamond" w:hAnsi="Garamond"/>
        </w:rPr>
        <w:t>o</w:t>
      </w:r>
      <w:r w:rsidRPr="55765628">
        <w:rPr>
          <w:rFonts w:ascii="Garamond" w:hAnsi="Garamond"/>
        </w:rPr>
        <w:t xml:space="preserve"> con le reciproche risorse interne portatrici di competenze e know how specifico, e che le conseguenti movimentazioni finanziarie costituiscono ristoro delle eventuali spese effettivamente sostenute per le attività svolte, essendo escluso il pagamento di un corrispettivo, comprensivo di un margine di guadagno;</w:t>
      </w:r>
    </w:p>
    <w:p w14:paraId="54CCFC2E" w14:textId="02299F57" w:rsidR="00DB6020" w:rsidRPr="0077142B" w:rsidRDefault="49F161EF" w:rsidP="008B77EF">
      <w:pPr>
        <w:jc w:val="both"/>
        <w:rPr>
          <w:rFonts w:ascii="Garamond" w:hAnsi="Garamond"/>
        </w:rPr>
      </w:pPr>
      <w:r w:rsidRPr="55765628">
        <w:rPr>
          <w:rFonts w:ascii="Garamond" w:hAnsi="Garamond"/>
          <w:b/>
          <w:bCs/>
        </w:rPr>
        <w:t xml:space="preserve">RITENUTO </w:t>
      </w:r>
      <w:r w:rsidRPr="55765628">
        <w:rPr>
          <w:rFonts w:ascii="Garamond" w:hAnsi="Garamond"/>
        </w:rPr>
        <w:t>che, nel caso di specie, ricorrono i presupposti per attivare un accordo di collaborazione tra Enti Pubblici, ai sensi dell’articolo 5, commi 6 e 7, del decreto legislativo 18 aprile 2016 n. 50, nel rispetto delle vigenti normative e della giurisprudenza consolidata e che si rende necessario, pertanto, disciplinare gli aspetti operativi ed economico-finanziari della collaborazione di cui trattasi</w:t>
      </w:r>
      <w:r w:rsidR="00CB65E4">
        <w:rPr>
          <w:rFonts w:ascii="Garamond" w:hAnsi="Garamond"/>
        </w:rPr>
        <w:t>;</w:t>
      </w:r>
    </w:p>
    <w:p w14:paraId="5031E15E" w14:textId="77777777" w:rsidR="00DB6020" w:rsidRPr="0077142B" w:rsidRDefault="00DB6020" w:rsidP="00390FE3">
      <w:pPr>
        <w:jc w:val="both"/>
        <w:rPr>
          <w:rFonts w:ascii="Garamond" w:hAnsi="Garamond"/>
        </w:rPr>
      </w:pPr>
    </w:p>
    <w:p w14:paraId="5836E6D4" w14:textId="4B84D21B" w:rsidR="008F715D" w:rsidRPr="0077142B" w:rsidRDefault="00DB6020" w:rsidP="003C1AC7">
      <w:pPr>
        <w:jc w:val="center"/>
        <w:rPr>
          <w:rFonts w:ascii="Garamond" w:hAnsi="Garamond"/>
          <w:b/>
          <w:bCs/>
        </w:rPr>
      </w:pPr>
      <w:r w:rsidRPr="0077142B">
        <w:rPr>
          <w:rFonts w:ascii="Garamond" w:hAnsi="Garamond"/>
          <w:b/>
          <w:bCs/>
        </w:rPr>
        <w:t>Tutto ciò premesso le parti convengono quanto segue</w:t>
      </w:r>
    </w:p>
    <w:p w14:paraId="249FA413" w14:textId="06D298A7" w:rsidR="00DB6020" w:rsidRPr="0077142B" w:rsidRDefault="00DB6020" w:rsidP="00F267A7">
      <w:pPr>
        <w:jc w:val="center"/>
        <w:rPr>
          <w:rFonts w:ascii="Garamond" w:hAnsi="Garamond"/>
          <w:b/>
          <w:bCs/>
        </w:rPr>
      </w:pPr>
      <w:r w:rsidRPr="0077142B">
        <w:rPr>
          <w:rFonts w:ascii="Garamond" w:hAnsi="Garamond"/>
          <w:b/>
          <w:bCs/>
        </w:rPr>
        <w:t>Articolo 1</w:t>
      </w:r>
    </w:p>
    <w:p w14:paraId="1B6626F9" w14:textId="77777777" w:rsidR="00DB6020" w:rsidRPr="0077142B" w:rsidRDefault="00DB6020" w:rsidP="00F267A7">
      <w:pPr>
        <w:jc w:val="center"/>
        <w:rPr>
          <w:rFonts w:ascii="Garamond" w:hAnsi="Garamond"/>
          <w:b/>
          <w:bCs/>
        </w:rPr>
      </w:pPr>
      <w:r w:rsidRPr="0077142B">
        <w:rPr>
          <w:rFonts w:ascii="Garamond" w:hAnsi="Garamond"/>
          <w:b/>
          <w:bCs/>
        </w:rPr>
        <w:t>(Premesse)</w:t>
      </w:r>
    </w:p>
    <w:p w14:paraId="38F1EF88" w14:textId="632DB85F" w:rsidR="00DB6020" w:rsidRPr="008B1DDA" w:rsidRDefault="49F161EF" w:rsidP="00F71470">
      <w:pPr>
        <w:jc w:val="both"/>
        <w:rPr>
          <w:rFonts w:ascii="Garamond" w:hAnsi="Garamond"/>
        </w:rPr>
      </w:pPr>
      <w:r w:rsidRPr="55765628">
        <w:rPr>
          <w:rFonts w:ascii="Garamond" w:hAnsi="Garamond"/>
        </w:rPr>
        <w:t>1. Le premesse costituiscono parte integrante e sostanziale del presente accordo e si intendono integralmente richiamate.</w:t>
      </w:r>
    </w:p>
    <w:p w14:paraId="347EFC6A" w14:textId="77777777" w:rsidR="00DB6020" w:rsidRPr="0077142B" w:rsidRDefault="00DB6020" w:rsidP="00F71470">
      <w:pPr>
        <w:jc w:val="both"/>
        <w:rPr>
          <w:rFonts w:ascii="Garamond" w:hAnsi="Garamond"/>
        </w:rPr>
      </w:pPr>
    </w:p>
    <w:p w14:paraId="06A63758" w14:textId="77777777" w:rsidR="00DB6020" w:rsidRPr="0077142B" w:rsidRDefault="00DB6020" w:rsidP="00F952CD">
      <w:pPr>
        <w:jc w:val="center"/>
        <w:rPr>
          <w:rFonts w:ascii="Garamond" w:hAnsi="Garamond"/>
          <w:b/>
          <w:bCs/>
        </w:rPr>
      </w:pPr>
      <w:r w:rsidRPr="0077142B">
        <w:rPr>
          <w:rFonts w:ascii="Garamond" w:hAnsi="Garamond"/>
          <w:b/>
          <w:bCs/>
        </w:rPr>
        <w:t>Articolo 2</w:t>
      </w:r>
    </w:p>
    <w:p w14:paraId="31A5CD5D" w14:textId="77777777" w:rsidR="00DB6020" w:rsidRPr="0077142B" w:rsidRDefault="00DB6020" w:rsidP="00C36DB7">
      <w:pPr>
        <w:jc w:val="center"/>
        <w:rPr>
          <w:rFonts w:ascii="Garamond" w:hAnsi="Garamond"/>
          <w:b/>
          <w:bCs/>
        </w:rPr>
      </w:pPr>
      <w:r w:rsidRPr="0077142B">
        <w:rPr>
          <w:rFonts w:ascii="Garamond" w:hAnsi="Garamond"/>
          <w:b/>
          <w:bCs/>
        </w:rPr>
        <w:t>(Interesse pubblico comune alle parti)</w:t>
      </w:r>
    </w:p>
    <w:p w14:paraId="353EF7A3" w14:textId="281529FF" w:rsidR="00DB6020" w:rsidRDefault="00003CF9" w:rsidP="00B75623">
      <w:pPr>
        <w:jc w:val="both"/>
        <w:rPr>
          <w:rFonts w:ascii="Garamond" w:hAnsi="Garamond"/>
        </w:rPr>
      </w:pPr>
      <w:r w:rsidRPr="00003CF9">
        <w:rPr>
          <w:rFonts w:ascii="Garamond" w:hAnsi="Garamond"/>
        </w:rPr>
        <w:t>1. Le parti ravvisano il reciproco interesse pubblico ad attivare le necessarie forme di collaborazione per la realizzazione della Missione 5 Component</w:t>
      </w:r>
      <w:r w:rsidR="00576DEA">
        <w:rPr>
          <w:rFonts w:ascii="Garamond" w:hAnsi="Garamond"/>
        </w:rPr>
        <w:t>e</w:t>
      </w:r>
      <w:r w:rsidRPr="00003CF9">
        <w:rPr>
          <w:rFonts w:ascii="Garamond" w:hAnsi="Garamond"/>
        </w:rPr>
        <w:t xml:space="preserve"> 1 Investimento 1.4 - Sistema Duale. Nello specifico, le parti collaborano per l’attuazione degli interventi collegati alla misura e il pieno raggiungimento nei tempi previsti.</w:t>
      </w:r>
    </w:p>
    <w:p w14:paraId="4EF8F660" w14:textId="77777777" w:rsidR="001178EF" w:rsidRPr="0077142B" w:rsidRDefault="001178EF" w:rsidP="00AC5624">
      <w:pPr>
        <w:jc w:val="both"/>
        <w:rPr>
          <w:rFonts w:ascii="Garamond" w:hAnsi="Garamond"/>
        </w:rPr>
      </w:pPr>
    </w:p>
    <w:p w14:paraId="4BAF05E0" w14:textId="77777777" w:rsidR="00DB6020" w:rsidRPr="0077142B" w:rsidRDefault="00DB6020" w:rsidP="00B75623">
      <w:pPr>
        <w:jc w:val="center"/>
        <w:rPr>
          <w:rFonts w:ascii="Garamond" w:hAnsi="Garamond"/>
          <w:b/>
          <w:bCs/>
        </w:rPr>
      </w:pPr>
      <w:r w:rsidRPr="0077142B">
        <w:rPr>
          <w:rFonts w:ascii="Garamond" w:hAnsi="Garamond"/>
          <w:b/>
          <w:bCs/>
        </w:rPr>
        <w:t>Articolo 3</w:t>
      </w:r>
    </w:p>
    <w:p w14:paraId="14813E2A" w14:textId="4CBEE874" w:rsidR="00DB6020" w:rsidRDefault="00DB6020" w:rsidP="00B75623">
      <w:pPr>
        <w:jc w:val="center"/>
        <w:rPr>
          <w:rFonts w:ascii="Garamond" w:hAnsi="Garamond"/>
          <w:b/>
          <w:bCs/>
        </w:rPr>
      </w:pPr>
      <w:r w:rsidRPr="0077142B">
        <w:rPr>
          <w:rFonts w:ascii="Garamond" w:hAnsi="Garamond"/>
          <w:b/>
          <w:bCs/>
        </w:rPr>
        <w:t>(Oggetto)</w:t>
      </w:r>
    </w:p>
    <w:p w14:paraId="73D96C48" w14:textId="33938C78" w:rsidR="00700EBD" w:rsidRDefault="00700EBD" w:rsidP="00700EBD">
      <w:pPr>
        <w:jc w:val="both"/>
        <w:textAlignment w:val="baseline"/>
        <w:rPr>
          <w:rFonts w:ascii="Garamond" w:hAnsi="Garamond"/>
        </w:rPr>
      </w:pPr>
      <w:r>
        <w:rPr>
          <w:rFonts w:ascii="Garamond" w:eastAsia="Times New Roman" w:hAnsi="Garamond" w:cs="Segoe UI"/>
          <w:lang w:eastAsia="it-IT"/>
        </w:rPr>
        <w:t xml:space="preserve">1. </w:t>
      </w:r>
      <w:r w:rsidRPr="00325A1C">
        <w:rPr>
          <w:rFonts w:ascii="Garamond" w:eastAsia="Times New Roman" w:hAnsi="Garamond" w:cs="Segoe UI"/>
          <w:lang w:eastAsia="it-IT"/>
        </w:rPr>
        <w:t xml:space="preserve">Oggetto del presente </w:t>
      </w:r>
      <w:r>
        <w:rPr>
          <w:rFonts w:ascii="Garamond" w:eastAsia="Times New Roman" w:hAnsi="Garamond" w:cs="Segoe UI"/>
          <w:lang w:eastAsia="it-IT"/>
        </w:rPr>
        <w:t>A</w:t>
      </w:r>
      <w:r w:rsidRPr="00325A1C">
        <w:rPr>
          <w:rFonts w:ascii="Garamond" w:eastAsia="Times New Roman" w:hAnsi="Garamond" w:cs="Segoe UI"/>
          <w:lang w:eastAsia="it-IT"/>
        </w:rPr>
        <w:t>ccordo è la realizzazione di una collaborazione nell’ambito delle attività previste per il conseguimento del</w:t>
      </w:r>
      <w:r>
        <w:rPr>
          <w:rFonts w:ascii="Garamond" w:eastAsia="Times New Roman" w:hAnsi="Garamond" w:cs="Segoe UI"/>
          <w:lang w:eastAsia="it-IT"/>
        </w:rPr>
        <w:t>l’</w:t>
      </w:r>
      <w:r w:rsidRPr="00325A1C">
        <w:rPr>
          <w:rFonts w:ascii="Garamond" w:eastAsia="Times New Roman" w:hAnsi="Garamond" w:cs="Segoe UI"/>
          <w:lang w:eastAsia="it-IT"/>
        </w:rPr>
        <w:t>obiettivo</w:t>
      </w:r>
      <w:r>
        <w:rPr>
          <w:rFonts w:ascii="Garamond" w:eastAsia="Times New Roman" w:hAnsi="Garamond" w:cs="Segoe UI"/>
          <w:lang w:eastAsia="it-IT"/>
        </w:rPr>
        <w:t xml:space="preserve"> g</w:t>
      </w:r>
      <w:r w:rsidRPr="008B57BA">
        <w:rPr>
          <w:rFonts w:ascii="Garamond" w:eastAsia="Times New Roman" w:hAnsi="Garamond" w:cs="Segoe UI"/>
          <w:lang w:eastAsia="it-IT"/>
        </w:rPr>
        <w:t xml:space="preserve">enerale dell’Investimento 1.4 “Sistema duale”, da raggiungere entro dicembre 2025, come stabilito </w:t>
      </w:r>
      <w:r w:rsidRPr="008B57BA">
        <w:rPr>
          <w:rFonts w:ascii="Garamond" w:hAnsi="Garamond"/>
        </w:rPr>
        <w:t>dal documento “</w:t>
      </w:r>
      <w:r w:rsidRPr="008B57BA">
        <w:rPr>
          <w:rFonts w:ascii="Garamond" w:hAnsi="Garamond"/>
          <w:i/>
          <w:iCs/>
        </w:rPr>
        <w:t>Recovery and Resilience Facility - Operational Arrangements between European Commission and Italy</w:t>
      </w:r>
      <w:r w:rsidRPr="008B57BA">
        <w:rPr>
          <w:rFonts w:ascii="Garamond" w:hAnsi="Garamond"/>
        </w:rPr>
        <w:t>” (pag. 376)</w:t>
      </w:r>
      <w:r>
        <w:rPr>
          <w:rFonts w:ascii="Garamond" w:hAnsi="Garamond"/>
        </w:rPr>
        <w:t xml:space="preserve"> in termini di “almeno 135.000 partecipanti a percorsi aggiuntivi (additional people) rispetto alla baseline (39.000) che hanno partecipato al sistema duale e ottenuto una “relevant certification” nel quinquennio 2121-2025, verificato, monitorato e rendicontato secondo quanto definito:</w:t>
      </w:r>
    </w:p>
    <w:p w14:paraId="583EB8E7" w14:textId="7990F923" w:rsidR="00700EBD" w:rsidRDefault="00BA2800" w:rsidP="00700EBD">
      <w:pPr>
        <w:pStyle w:val="Paragrafoelenco"/>
        <w:numPr>
          <w:ilvl w:val="0"/>
          <w:numId w:val="17"/>
        </w:numPr>
        <w:jc w:val="both"/>
        <w:textAlignment w:val="baseline"/>
        <w:rPr>
          <w:rFonts w:ascii="Garamond" w:hAnsi="Garamond"/>
        </w:rPr>
      </w:pPr>
      <w:r>
        <w:rPr>
          <w:rFonts w:ascii="Garamond" w:hAnsi="Garamond"/>
        </w:rPr>
        <w:t>da</w:t>
      </w:r>
      <w:r w:rsidR="00700EBD" w:rsidRPr="0077142B">
        <w:rPr>
          <w:rFonts w:ascii="Garamond" w:hAnsi="Garamond"/>
        </w:rPr>
        <w:t>l “Piano Nazionale di Ripresa e Resilienza” (di seguito anche “PNRR” o “Piano”) presentato alla Commissione in data 30 giugno 2021 e valutato positivamente con Decisione del Consiglio ECOFIN del 13 luglio 2021 e notificata all’Italia dal Segretariato generale del Consiglio con nota LT161/21, del 14 luglio 2021</w:t>
      </w:r>
      <w:r w:rsidR="00700EBD">
        <w:rPr>
          <w:rFonts w:ascii="Garamond" w:hAnsi="Garamond"/>
        </w:rPr>
        <w:t>;</w:t>
      </w:r>
    </w:p>
    <w:p w14:paraId="723A2FD5" w14:textId="485A8EB8" w:rsidR="0082566D" w:rsidRPr="00BA2800" w:rsidRDefault="00BA2800" w:rsidP="00683999">
      <w:pPr>
        <w:pStyle w:val="Paragrafoelenco"/>
        <w:numPr>
          <w:ilvl w:val="0"/>
          <w:numId w:val="17"/>
        </w:numPr>
        <w:jc w:val="both"/>
        <w:textAlignment w:val="baseline"/>
        <w:rPr>
          <w:rFonts w:ascii="Garamond" w:eastAsia="Times New Roman" w:hAnsi="Garamond" w:cstheme="minorHAnsi"/>
          <w:lang w:val="en-US" w:eastAsia="it-IT"/>
        </w:rPr>
      </w:pPr>
      <w:r>
        <w:rPr>
          <w:rFonts w:ascii="Garamond" w:hAnsi="Garamond"/>
          <w:lang w:val="en-US"/>
        </w:rPr>
        <w:t>da</w:t>
      </w:r>
      <w:r w:rsidR="00700EBD" w:rsidRPr="00BA2800">
        <w:rPr>
          <w:rFonts w:ascii="Garamond" w:hAnsi="Garamond"/>
          <w:lang w:val="en-US"/>
        </w:rPr>
        <w:t>l documento “</w:t>
      </w:r>
      <w:r w:rsidR="00700EBD" w:rsidRPr="00BA2800">
        <w:rPr>
          <w:rFonts w:ascii="Garamond" w:hAnsi="Garamond"/>
          <w:i/>
          <w:iCs/>
          <w:lang w:val="en-US"/>
        </w:rPr>
        <w:t>Recovery and Resilience Facility - Operational Arrangements between European Commission and Italy</w:t>
      </w:r>
      <w:r w:rsidR="00700EBD" w:rsidRPr="00BA2800">
        <w:rPr>
          <w:rFonts w:ascii="Garamond" w:hAnsi="Garamond"/>
          <w:lang w:val="en-US"/>
        </w:rPr>
        <w:t>” (pag. 376);</w:t>
      </w:r>
    </w:p>
    <w:p w14:paraId="25A24313" w14:textId="6DCCF886" w:rsidR="0082566D" w:rsidRPr="0082566D" w:rsidRDefault="00BA2800" w:rsidP="0082566D">
      <w:pPr>
        <w:pStyle w:val="Paragrafoelenco"/>
        <w:numPr>
          <w:ilvl w:val="0"/>
          <w:numId w:val="17"/>
        </w:numPr>
        <w:jc w:val="both"/>
        <w:textAlignment w:val="baseline"/>
        <w:rPr>
          <w:rFonts w:ascii="Garamond" w:eastAsia="Times New Roman" w:hAnsi="Garamond" w:cstheme="minorHAnsi"/>
          <w:lang w:eastAsia="it-IT"/>
        </w:rPr>
      </w:pPr>
      <w:r>
        <w:rPr>
          <w:rFonts w:ascii="Garamond" w:hAnsi="Garamond"/>
        </w:rPr>
        <w:t>dal</w:t>
      </w:r>
      <w:r w:rsidR="00700EBD" w:rsidRPr="0082566D">
        <w:rPr>
          <w:rFonts w:ascii="Garamond" w:hAnsi="Garamond"/>
        </w:rPr>
        <w:t>le Linee guida per la programmazione e attuazione dei percorsi di istruzione e formazione professionale (Iefp) e di istruzione e formazione tecnica superiore (Ifts) in modalità duale, adottate con Decreto n. 139</w:t>
      </w:r>
      <w:r w:rsidR="0082566D" w:rsidRPr="0082566D">
        <w:rPr>
          <w:rFonts w:ascii="Garamond" w:hAnsi="Garamond"/>
        </w:rPr>
        <w:t xml:space="preserve"> del 2 agosto 2022, in recepimento dell’Accordo in sede di Conferenza Stato Regioni del 27 luglio 2022 pubblicate su GU Serie Generale n. 219 del 19 settembre 2022 e successive modificazioni;</w:t>
      </w:r>
    </w:p>
    <w:p w14:paraId="60575914" w14:textId="565FFDD9" w:rsidR="00325A1C" w:rsidRPr="0082566D" w:rsidRDefault="0082566D" w:rsidP="0082566D">
      <w:pPr>
        <w:jc w:val="both"/>
        <w:textAlignment w:val="baseline"/>
        <w:rPr>
          <w:rFonts w:ascii="Garamond" w:eastAsia="Times New Roman" w:hAnsi="Garamond" w:cstheme="minorHAnsi"/>
          <w:lang w:eastAsia="it-IT"/>
        </w:rPr>
      </w:pPr>
      <w:r>
        <w:rPr>
          <w:rFonts w:ascii="Garamond" w:eastAsia="Times New Roman" w:hAnsi="Garamond" w:cs="Segoe UI"/>
          <w:lang w:eastAsia="it-IT"/>
        </w:rPr>
        <w:t>2</w:t>
      </w:r>
      <w:r w:rsidR="00325A1C" w:rsidRPr="0082566D">
        <w:rPr>
          <w:rFonts w:ascii="Garamond" w:eastAsia="Times New Roman" w:hAnsi="Garamond" w:cs="Segoe UI"/>
          <w:lang w:eastAsia="it-IT"/>
        </w:rPr>
        <w:t xml:space="preserve">. Il presente </w:t>
      </w:r>
      <w:r w:rsidR="003F0B28" w:rsidRPr="0082566D">
        <w:rPr>
          <w:rFonts w:ascii="Garamond" w:eastAsia="Times New Roman" w:hAnsi="Garamond" w:cs="Segoe UI"/>
          <w:lang w:eastAsia="it-IT"/>
        </w:rPr>
        <w:t>A</w:t>
      </w:r>
      <w:r w:rsidR="00325A1C" w:rsidRPr="0082566D">
        <w:rPr>
          <w:rFonts w:ascii="Garamond" w:eastAsia="Times New Roman" w:hAnsi="Garamond" w:cs="Segoe UI"/>
          <w:lang w:eastAsia="it-IT"/>
        </w:rPr>
        <w:t xml:space="preserve">ccordo disciplina gli impegni operativi di ciascuna parte, in attuazione </w:t>
      </w:r>
      <w:r w:rsidR="00A415B6" w:rsidRPr="0082566D">
        <w:rPr>
          <w:rFonts w:ascii="Garamond" w:eastAsia="Times New Roman" w:hAnsi="Garamond" w:cs="Segoe UI"/>
          <w:lang w:eastAsia="it-IT"/>
        </w:rPr>
        <w:t>di</w:t>
      </w:r>
      <w:r w:rsidR="00325A1C" w:rsidRPr="0082566D">
        <w:rPr>
          <w:rFonts w:ascii="Garamond" w:eastAsia="Times New Roman" w:hAnsi="Garamond" w:cs="Segoe UI"/>
          <w:lang w:eastAsia="it-IT"/>
        </w:rPr>
        <w:t xml:space="preserve"> quanto stabilito dal Decreto Legge del 31 maggio 2021 n.77, convertito con modificazioni dalla legge del 29 luglio 2021 n. 108 e successive modifiche e integrazioni.</w:t>
      </w:r>
    </w:p>
    <w:p w14:paraId="696654E7" w14:textId="7BE78315" w:rsidR="00325A1C" w:rsidRDefault="00325A1C" w:rsidP="00B75623">
      <w:pPr>
        <w:jc w:val="center"/>
        <w:rPr>
          <w:rFonts w:ascii="Garamond" w:hAnsi="Garamond"/>
          <w:b/>
          <w:bCs/>
        </w:rPr>
      </w:pPr>
    </w:p>
    <w:p w14:paraId="4A0D1DA2" w14:textId="77777777" w:rsidR="00DB6020" w:rsidRPr="0077142B" w:rsidRDefault="00DB6020" w:rsidP="00B75623">
      <w:pPr>
        <w:jc w:val="center"/>
        <w:rPr>
          <w:rFonts w:ascii="Garamond" w:hAnsi="Garamond"/>
          <w:b/>
          <w:bCs/>
        </w:rPr>
      </w:pPr>
      <w:r w:rsidRPr="0077142B">
        <w:rPr>
          <w:rFonts w:ascii="Garamond" w:hAnsi="Garamond"/>
          <w:b/>
          <w:bCs/>
        </w:rPr>
        <w:t>Articolo 4</w:t>
      </w:r>
    </w:p>
    <w:p w14:paraId="7436A6FE" w14:textId="25CE6984" w:rsidR="00DB6020" w:rsidRDefault="00DB6020" w:rsidP="00B75623">
      <w:pPr>
        <w:jc w:val="center"/>
        <w:rPr>
          <w:rFonts w:ascii="Garamond" w:hAnsi="Garamond"/>
          <w:b/>
          <w:bCs/>
        </w:rPr>
      </w:pPr>
      <w:r w:rsidRPr="0077142B">
        <w:rPr>
          <w:rFonts w:ascii="Garamond" w:hAnsi="Garamond"/>
          <w:b/>
          <w:bCs/>
        </w:rPr>
        <w:t xml:space="preserve">(Compiti in capo </w:t>
      </w:r>
      <w:bookmarkStart w:id="1" w:name="_Hlk115429085"/>
      <w:r w:rsidRPr="0077142B">
        <w:rPr>
          <w:rFonts w:ascii="Garamond" w:hAnsi="Garamond"/>
          <w:b/>
          <w:bCs/>
        </w:rPr>
        <w:t>all’Amministrazione centrale titolare di interventi PNRR</w:t>
      </w:r>
      <w:bookmarkEnd w:id="1"/>
      <w:r w:rsidRPr="0077142B">
        <w:rPr>
          <w:rFonts w:ascii="Garamond" w:hAnsi="Garamond"/>
          <w:b/>
          <w:bCs/>
        </w:rPr>
        <w:t>)</w:t>
      </w:r>
    </w:p>
    <w:p w14:paraId="66FCE45F" w14:textId="5962BE0D" w:rsidR="00230EF2" w:rsidRPr="0077142B" w:rsidRDefault="00230EF2" w:rsidP="00D64458">
      <w:pPr>
        <w:jc w:val="both"/>
        <w:rPr>
          <w:rFonts w:ascii="Garamond" w:hAnsi="Garamond"/>
          <w:highlight w:val="yellow"/>
        </w:rPr>
      </w:pPr>
      <w:r w:rsidRPr="7D979DFE">
        <w:rPr>
          <w:rFonts w:ascii="Garamond" w:hAnsi="Garamond"/>
        </w:rPr>
        <w:t>1. Con la sottoscrizione del presente accordo, l’Amministrazione centrale titolare di interventi PNRR</w:t>
      </w:r>
      <w:r w:rsidR="00E3200D">
        <w:rPr>
          <w:rFonts w:ascii="Garamond" w:hAnsi="Garamond"/>
        </w:rPr>
        <w:t>,</w:t>
      </w:r>
      <w:r w:rsidRPr="7D979DFE">
        <w:rPr>
          <w:rFonts w:ascii="Garamond" w:hAnsi="Garamond"/>
        </w:rPr>
        <w:t xml:space="preserve"> in attuazione di quanto previsto dall’art. 8 Decreto Legge del 31 maggio 2021 n. 77, convertito con modificazioni dalla legge del 29 luglio 2021 n. 108 e dal Decreto del Ministro del Lavoro e delle Politiche Sociali di concerto con il Ministro dell’Economia e delle Finanze, del 11/10/2021, concernente l’istituzione dell’Unità di Missione dell’Amministrazione centrale titolare di interventi PNRR, si obbliga a:</w:t>
      </w:r>
    </w:p>
    <w:p w14:paraId="0ED1F6B8" w14:textId="77777777" w:rsidR="00230EF2" w:rsidRPr="004D7804" w:rsidRDefault="00230EF2" w:rsidP="00D64458">
      <w:pPr>
        <w:pStyle w:val="Paragrafoelenco"/>
        <w:numPr>
          <w:ilvl w:val="0"/>
          <w:numId w:val="1"/>
        </w:numPr>
        <w:ind w:left="644"/>
        <w:jc w:val="both"/>
        <w:rPr>
          <w:rFonts w:ascii="Garamond" w:hAnsi="Garamond"/>
        </w:rPr>
      </w:pPr>
      <w:r w:rsidRPr="567E1E70">
        <w:rPr>
          <w:rFonts w:ascii="Garamond" w:hAnsi="Garamond"/>
        </w:rPr>
        <w:t>assicurare il coordinamento delle attività di gestione, nonché il monitoraggio, la rendicontazione ed il controllo complessivo sul conseguimento degli obiettivi dell’investimento;</w:t>
      </w:r>
    </w:p>
    <w:p w14:paraId="27F29B08" w14:textId="402AF611" w:rsidR="00230EF2" w:rsidRPr="004D7804" w:rsidRDefault="00230EF2" w:rsidP="004D256D">
      <w:pPr>
        <w:pStyle w:val="Paragrafoelenco"/>
        <w:numPr>
          <w:ilvl w:val="0"/>
          <w:numId w:val="1"/>
        </w:numPr>
        <w:ind w:left="644"/>
        <w:jc w:val="both"/>
        <w:rPr>
          <w:rFonts w:ascii="Garamond" w:hAnsi="Garamond"/>
        </w:rPr>
      </w:pPr>
      <w:r w:rsidRPr="55765628">
        <w:rPr>
          <w:rFonts w:ascii="Garamond" w:hAnsi="Garamond"/>
        </w:rPr>
        <w:t>rappresentare il punto di contatto con il Servizio centrale per il PNRR di cui all’articolo 6 del Decreto Legge 31 maggio 2021, n. 77</w:t>
      </w:r>
      <w:r w:rsidR="005F53E3">
        <w:rPr>
          <w:rFonts w:ascii="Garamond" w:hAnsi="Garamond"/>
        </w:rPr>
        <w:t>,</w:t>
      </w:r>
      <w:r w:rsidRPr="55765628">
        <w:rPr>
          <w:rFonts w:ascii="Garamond" w:hAnsi="Garamond"/>
        </w:rPr>
        <w:t xml:space="preserve"> convertito con modificazioni dalla legge di conversione del 29 luglio 2021, n. 108, per l’espletamento degli adempimenti previsti dal Regolamento (UE) 2021/241 e, in particolare, per la presentazione alla Commissione europea delle richieste di pagamento ai sensi dell’articolo 24, paragrafo 2 del medesimo Regolamento. La stessa provvede a inviare e/o a supervisionare la trasmissione al Servizio centrale per il PNRR dell’avanzamento </w:t>
      </w:r>
      <w:r w:rsidR="00885FE2">
        <w:rPr>
          <w:rFonts w:ascii="Garamond" w:hAnsi="Garamond"/>
        </w:rPr>
        <w:t>dell’Obiettivo generale PNRR</w:t>
      </w:r>
      <w:r w:rsidRPr="00164566">
        <w:rPr>
          <w:rFonts w:ascii="Garamond" w:hAnsi="Garamond"/>
        </w:rPr>
        <w:t>,</w:t>
      </w:r>
      <w:r w:rsidRPr="55765628">
        <w:rPr>
          <w:rFonts w:ascii="Garamond" w:hAnsi="Garamond"/>
        </w:rPr>
        <w:t xml:space="preserve"> nonché dei dati finanziari e di realizzazione fisica e procedurale degli investimenti e delle riforme, attraverso le specifiche funzionalità del sistema informatico di cui all’articolo 1, comma 1043, della legge 30 dicembre 2020, n. 178;</w:t>
      </w:r>
    </w:p>
    <w:p w14:paraId="21323F80" w14:textId="77777777" w:rsidR="00230EF2" w:rsidRPr="004D7804" w:rsidRDefault="00230EF2" w:rsidP="004D256D">
      <w:pPr>
        <w:pStyle w:val="Paragrafoelenco"/>
        <w:numPr>
          <w:ilvl w:val="0"/>
          <w:numId w:val="1"/>
        </w:numPr>
        <w:ind w:left="644"/>
        <w:jc w:val="both"/>
        <w:rPr>
          <w:rFonts w:ascii="Garamond" w:hAnsi="Garamond"/>
        </w:rPr>
      </w:pPr>
      <w:r w:rsidRPr="55765628">
        <w:rPr>
          <w:rFonts w:ascii="Garamond" w:hAnsi="Garamond"/>
        </w:rPr>
        <w:t>vigilare affinché vengano adottate procedure e atti di selezione coerenti con le regole e gli obiettivi del PNRR, nonché meccanismi di prevenzione delle criticità adeguati;</w:t>
      </w:r>
    </w:p>
    <w:p w14:paraId="1FBAD0D1" w14:textId="4B2EB6FA" w:rsidR="00230EF2" w:rsidRPr="00164566" w:rsidRDefault="00230EF2" w:rsidP="004D256D">
      <w:pPr>
        <w:pStyle w:val="Paragrafoelenco"/>
        <w:numPr>
          <w:ilvl w:val="0"/>
          <w:numId w:val="1"/>
        </w:numPr>
        <w:ind w:left="644"/>
        <w:jc w:val="both"/>
        <w:rPr>
          <w:rFonts w:ascii="Garamond" w:hAnsi="Garamond"/>
        </w:rPr>
      </w:pPr>
      <w:r w:rsidRPr="567E1E70">
        <w:rPr>
          <w:rFonts w:ascii="Garamond" w:hAnsi="Garamond"/>
        </w:rPr>
        <w:t xml:space="preserve">adottare cronoprogrammi annuali che individuino interim steps per il conseguimento </w:t>
      </w:r>
      <w:r w:rsidR="00885FE2">
        <w:rPr>
          <w:rFonts w:ascii="Garamond" w:hAnsi="Garamond"/>
        </w:rPr>
        <w:t>dell’Obiettivo generale PNRR</w:t>
      </w:r>
      <w:r w:rsidR="009654F6">
        <w:rPr>
          <w:rFonts w:ascii="Garamond" w:hAnsi="Garamond"/>
        </w:rPr>
        <w:t>,</w:t>
      </w:r>
      <w:r w:rsidRPr="567E1E70">
        <w:rPr>
          <w:rFonts w:ascii="Garamond" w:hAnsi="Garamond"/>
        </w:rPr>
        <w:t xml:space="preserve"> e vigilare sul rispetto della tempistica ivi prevista;</w:t>
      </w:r>
    </w:p>
    <w:p w14:paraId="5CE9A80F" w14:textId="21EB29B8" w:rsidR="00230EF2" w:rsidRPr="00164566" w:rsidRDefault="00230EF2" w:rsidP="004D256D">
      <w:pPr>
        <w:pStyle w:val="Paragrafoelenco"/>
        <w:numPr>
          <w:ilvl w:val="0"/>
          <w:numId w:val="1"/>
        </w:numPr>
        <w:ind w:left="644"/>
        <w:jc w:val="both"/>
        <w:rPr>
          <w:rFonts w:ascii="Garamond" w:hAnsi="Garamond"/>
        </w:rPr>
      </w:pPr>
      <w:r w:rsidRPr="567E1E70">
        <w:rPr>
          <w:rFonts w:ascii="Garamond" w:hAnsi="Garamond"/>
        </w:rPr>
        <w:t xml:space="preserve">vigilare affinché vengano alimentati nelle banche dati i dati di monitoraggio e </w:t>
      </w:r>
      <w:r w:rsidR="00EE35A8">
        <w:rPr>
          <w:rFonts w:ascii="Garamond" w:hAnsi="Garamond"/>
        </w:rPr>
        <w:t>gli</w:t>
      </w:r>
      <w:r w:rsidRPr="567E1E70">
        <w:rPr>
          <w:rFonts w:ascii="Garamond" w:hAnsi="Garamond"/>
        </w:rPr>
        <w:t xml:space="preserve"> indicatori di riferimento;</w:t>
      </w:r>
    </w:p>
    <w:p w14:paraId="213DF50F" w14:textId="5A2E75A0" w:rsidR="00E47F82" w:rsidRDefault="00230EF2" w:rsidP="001178EF">
      <w:pPr>
        <w:pStyle w:val="Paragrafoelenco"/>
        <w:numPr>
          <w:ilvl w:val="0"/>
          <w:numId w:val="1"/>
        </w:numPr>
        <w:ind w:left="644"/>
        <w:jc w:val="both"/>
        <w:rPr>
          <w:rFonts w:ascii="Garamond" w:hAnsi="Garamond"/>
        </w:rPr>
      </w:pPr>
      <w:r w:rsidRPr="00E47F82">
        <w:rPr>
          <w:rFonts w:ascii="Garamond" w:hAnsi="Garamond"/>
        </w:rPr>
        <w:t xml:space="preserve">emanare istruzioni e linee guida per assicurare il conseguimento </w:t>
      </w:r>
      <w:r w:rsidR="00885FE2">
        <w:rPr>
          <w:rFonts w:ascii="Garamond" w:hAnsi="Garamond"/>
        </w:rPr>
        <w:t>dell’Obiettivo generale PNRR</w:t>
      </w:r>
      <w:r w:rsidRPr="00E47F82">
        <w:rPr>
          <w:rFonts w:ascii="Garamond" w:hAnsi="Garamond"/>
        </w:rPr>
        <w:t>, la regolarità della spesa, la corretta valorizzazione degli indicatori in coerenza con le indicazioni fornite dal Servizio centrale per il Coordinamento del PNRR e/o l’Unità di Missione presso il Ministero dell’economia e Finanze, nonché il rispetto di ogni altro adempimento previsto dalla normativa europea e nazionale applicabile al PNRR;</w:t>
      </w:r>
    </w:p>
    <w:p w14:paraId="11C6AF50" w14:textId="43636F0A" w:rsidR="00E47F82" w:rsidRPr="00E47F82" w:rsidRDefault="00E47F82" w:rsidP="001178EF">
      <w:pPr>
        <w:pStyle w:val="Paragrafoelenco"/>
        <w:numPr>
          <w:ilvl w:val="0"/>
          <w:numId w:val="1"/>
        </w:numPr>
        <w:ind w:left="644"/>
        <w:jc w:val="both"/>
        <w:rPr>
          <w:rFonts w:ascii="Garamond" w:hAnsi="Garamond"/>
        </w:rPr>
      </w:pPr>
      <w:r w:rsidRPr="00E47F82">
        <w:rPr>
          <w:rFonts w:ascii="Garamond" w:hAnsi="Garamond"/>
        </w:rPr>
        <w:t xml:space="preserve">verificare la correttezza, affidabilità e completezza degli atti e delle procedure amministrative sottostanti e funzionali al soddisfacente conseguimento </w:t>
      </w:r>
      <w:r w:rsidR="004E3D35">
        <w:rPr>
          <w:rFonts w:ascii="Garamond" w:hAnsi="Garamond"/>
        </w:rPr>
        <w:t>dell’Obiettivo generale PNRR</w:t>
      </w:r>
      <w:r w:rsidRPr="00E47F82">
        <w:rPr>
          <w:rFonts w:ascii="Garamond" w:hAnsi="Garamond"/>
        </w:rPr>
        <w:t>;</w:t>
      </w:r>
    </w:p>
    <w:p w14:paraId="6F91183B" w14:textId="24ECD717" w:rsidR="005838B2" w:rsidRDefault="00230EF2" w:rsidP="001178EF">
      <w:pPr>
        <w:pStyle w:val="Paragrafoelenco"/>
        <w:numPr>
          <w:ilvl w:val="0"/>
          <w:numId w:val="1"/>
        </w:numPr>
        <w:ind w:left="644"/>
        <w:jc w:val="both"/>
        <w:rPr>
          <w:rFonts w:ascii="Garamond" w:hAnsi="Garamond"/>
        </w:rPr>
      </w:pPr>
      <w:r w:rsidRPr="567E1E70">
        <w:rPr>
          <w:rFonts w:ascii="Garamond" w:hAnsi="Garamond"/>
        </w:rPr>
        <w:t>svolgere attività di supporto nella definizione, attuazione, monitoraggio dei progetti finanziati dal PNRR e, se applicabile, di programmi e progetti complementari cofinanziati ovvero finanziati da fondi nazionali, europei e internazionali;</w:t>
      </w:r>
    </w:p>
    <w:p w14:paraId="5A7192B1" w14:textId="58A7AC65" w:rsidR="005838B2" w:rsidRPr="005838B2" w:rsidRDefault="005838B2" w:rsidP="001178EF">
      <w:pPr>
        <w:pStyle w:val="Paragrafoelenco"/>
        <w:numPr>
          <w:ilvl w:val="0"/>
          <w:numId w:val="1"/>
        </w:numPr>
        <w:ind w:left="644"/>
        <w:jc w:val="both"/>
        <w:rPr>
          <w:rFonts w:ascii="Garamond" w:hAnsi="Garamond"/>
        </w:rPr>
      </w:pPr>
      <w:r w:rsidRPr="005838B2">
        <w:rPr>
          <w:rFonts w:ascii="Garamond" w:hAnsi="Garamond"/>
        </w:rPr>
        <w:t xml:space="preserve">a partire dai trenta giorni </w:t>
      </w:r>
      <w:r w:rsidRPr="00E83448">
        <w:rPr>
          <w:rFonts w:ascii="Garamond" w:hAnsi="Garamond"/>
        </w:rPr>
        <w:t>successivi al</w:t>
      </w:r>
      <w:r w:rsidR="00FE0B2D" w:rsidRPr="00E83448">
        <w:rPr>
          <w:rFonts w:ascii="Garamond" w:hAnsi="Garamond"/>
        </w:rPr>
        <w:t>l’</w:t>
      </w:r>
      <w:r w:rsidRPr="00E83448">
        <w:rPr>
          <w:rFonts w:ascii="Garamond" w:hAnsi="Garamond"/>
        </w:rPr>
        <w:t xml:space="preserve"> avvio d</w:t>
      </w:r>
      <w:r w:rsidR="002223D2" w:rsidRPr="00E83448">
        <w:rPr>
          <w:rFonts w:ascii="Garamond" w:hAnsi="Garamond"/>
        </w:rPr>
        <w:t>ell</w:t>
      </w:r>
      <w:r w:rsidR="00FE0B2D" w:rsidRPr="00E83448">
        <w:rPr>
          <w:rFonts w:ascii="Garamond" w:hAnsi="Garamond"/>
        </w:rPr>
        <w:t xml:space="preserve">e </w:t>
      </w:r>
      <w:r w:rsidRPr="00E83448">
        <w:rPr>
          <w:rFonts w:ascii="Garamond" w:hAnsi="Garamond"/>
        </w:rPr>
        <w:t>attività</w:t>
      </w:r>
      <w:r w:rsidR="00FE0B2D" w:rsidRPr="00E83448">
        <w:rPr>
          <w:rFonts w:ascii="Garamond" w:hAnsi="Garamond"/>
        </w:rPr>
        <w:t>, così come definito dall’</w:t>
      </w:r>
      <w:r w:rsidR="00206E96" w:rsidRPr="00E83448">
        <w:rPr>
          <w:rFonts w:ascii="Garamond" w:hAnsi="Garamond"/>
        </w:rPr>
        <w:t xml:space="preserve"> art. 8, comma 1</w:t>
      </w:r>
      <w:r w:rsidRPr="00E83448">
        <w:rPr>
          <w:rFonts w:ascii="Garamond" w:hAnsi="Garamond"/>
        </w:rPr>
        <w:t>, svolgere</w:t>
      </w:r>
      <w:r w:rsidRPr="005838B2">
        <w:rPr>
          <w:rFonts w:ascii="Garamond" w:hAnsi="Garamond"/>
        </w:rPr>
        <w:t xml:space="preserve"> attività di controllo al 100% sul soddisfacente conseguimento </w:t>
      </w:r>
      <w:r w:rsidR="00885FE2">
        <w:rPr>
          <w:rFonts w:ascii="Garamond" w:hAnsi="Garamond"/>
        </w:rPr>
        <w:t>dell’Obiettivo generale PNRR</w:t>
      </w:r>
      <w:r w:rsidRPr="005838B2">
        <w:rPr>
          <w:rFonts w:ascii="Garamond" w:hAnsi="Garamond"/>
        </w:rPr>
        <w:t>, anche mediante verifiche in itinere e/o in loco;</w:t>
      </w:r>
    </w:p>
    <w:p w14:paraId="24623934" w14:textId="338D8FC2" w:rsidR="00B114F7" w:rsidRDefault="00F7184E" w:rsidP="001178EF">
      <w:pPr>
        <w:pStyle w:val="Paragrafoelenco"/>
        <w:numPr>
          <w:ilvl w:val="0"/>
          <w:numId w:val="1"/>
        </w:numPr>
        <w:ind w:left="709"/>
        <w:jc w:val="both"/>
        <w:rPr>
          <w:rFonts w:ascii="Garamond" w:hAnsi="Garamond"/>
        </w:rPr>
      </w:pPr>
      <w:r>
        <w:rPr>
          <w:rFonts w:ascii="Garamond" w:hAnsi="Garamond"/>
        </w:rPr>
        <w:t>v</w:t>
      </w:r>
      <w:r w:rsidR="00CC3934" w:rsidRPr="00B114F7">
        <w:rPr>
          <w:rFonts w:ascii="Garamond" w:hAnsi="Garamond"/>
        </w:rPr>
        <w:t xml:space="preserve">alidare i dati inseriti dalle Regioni nel sistema informativo relativamente al monitoraggio ed alla rendicontazione </w:t>
      </w:r>
      <w:r w:rsidR="00885FE2">
        <w:rPr>
          <w:rFonts w:ascii="Garamond" w:hAnsi="Garamond"/>
        </w:rPr>
        <w:t>dell’Obiettivo generale PNRR</w:t>
      </w:r>
      <w:r w:rsidR="00CC3934" w:rsidRPr="00B114F7">
        <w:rPr>
          <w:rFonts w:ascii="Garamond" w:hAnsi="Garamond"/>
        </w:rPr>
        <w:t>, nonché degli indicatori comuni</w:t>
      </w:r>
      <w:r w:rsidR="009905E8" w:rsidRPr="00B114F7">
        <w:rPr>
          <w:rFonts w:ascii="Garamond" w:hAnsi="Garamond"/>
        </w:rPr>
        <w:t>;</w:t>
      </w:r>
    </w:p>
    <w:p w14:paraId="7D59BCB6" w14:textId="60A0D1C2" w:rsidR="00B207BE" w:rsidRDefault="00B114F7" w:rsidP="001178EF">
      <w:pPr>
        <w:pStyle w:val="Paragrafoelenco"/>
        <w:numPr>
          <w:ilvl w:val="0"/>
          <w:numId w:val="1"/>
        </w:numPr>
        <w:ind w:left="709"/>
        <w:jc w:val="both"/>
        <w:rPr>
          <w:rFonts w:ascii="Garamond" w:hAnsi="Garamond"/>
        </w:rPr>
      </w:pPr>
      <w:r w:rsidRPr="00B114F7">
        <w:rPr>
          <w:rFonts w:ascii="Garamond" w:hAnsi="Garamond"/>
        </w:rPr>
        <w:t xml:space="preserve">rendicontare </w:t>
      </w:r>
      <w:r w:rsidR="004E3D35">
        <w:rPr>
          <w:rFonts w:ascii="Garamond" w:hAnsi="Garamond"/>
        </w:rPr>
        <w:t>i dati di Obiettivo generale PNRR</w:t>
      </w:r>
      <w:r w:rsidRPr="00B114F7">
        <w:rPr>
          <w:rFonts w:ascii="Garamond" w:hAnsi="Garamond"/>
        </w:rPr>
        <w:t xml:space="preserve"> nelle modalità indicate dal Dipartimento della ragioneria generale dello Stato Servizio centrale per il PNRR, espletate le verifiche di competenza;</w:t>
      </w:r>
    </w:p>
    <w:p w14:paraId="15050780" w14:textId="13573534" w:rsidR="003D2FDD" w:rsidRDefault="00B207BE" w:rsidP="001178EF">
      <w:pPr>
        <w:pStyle w:val="Paragrafoelenco"/>
        <w:numPr>
          <w:ilvl w:val="0"/>
          <w:numId w:val="1"/>
        </w:numPr>
        <w:ind w:left="709"/>
        <w:jc w:val="both"/>
        <w:rPr>
          <w:rFonts w:ascii="Garamond" w:hAnsi="Garamond"/>
        </w:rPr>
      </w:pPr>
      <w:r w:rsidRPr="00B207BE">
        <w:rPr>
          <w:rFonts w:ascii="Garamond" w:hAnsi="Garamond"/>
        </w:rPr>
        <w:t xml:space="preserve">consuntivare le spese al Dipartimento della ragioneria generale dello Stato Servizio centrale per il PNRR, espletate le verifiche di competenza sulla rendicontazione di spesa presentata dai </w:t>
      </w:r>
      <w:r w:rsidR="00267995">
        <w:rPr>
          <w:rFonts w:ascii="Garamond" w:hAnsi="Garamond"/>
        </w:rPr>
        <w:t>S</w:t>
      </w:r>
      <w:r w:rsidRPr="00B207BE">
        <w:rPr>
          <w:rFonts w:ascii="Garamond" w:hAnsi="Garamond"/>
        </w:rPr>
        <w:t xml:space="preserve">oggetti </w:t>
      </w:r>
      <w:r w:rsidR="00267995">
        <w:rPr>
          <w:rFonts w:ascii="Garamond" w:hAnsi="Garamond"/>
        </w:rPr>
        <w:t>A</w:t>
      </w:r>
      <w:r w:rsidRPr="00B207BE">
        <w:rPr>
          <w:rFonts w:ascii="Garamond" w:hAnsi="Garamond"/>
        </w:rPr>
        <w:t>ttuatori;</w:t>
      </w:r>
    </w:p>
    <w:p w14:paraId="3EF2AFF8" w14:textId="19C32059" w:rsidR="003D2FDD" w:rsidRPr="003D2FDD" w:rsidRDefault="003D2FDD" w:rsidP="001178EF">
      <w:pPr>
        <w:pStyle w:val="Paragrafoelenco"/>
        <w:numPr>
          <w:ilvl w:val="0"/>
          <w:numId w:val="1"/>
        </w:numPr>
        <w:ind w:left="709"/>
        <w:jc w:val="both"/>
        <w:rPr>
          <w:rFonts w:ascii="Garamond" w:hAnsi="Garamond"/>
        </w:rPr>
      </w:pPr>
      <w:r w:rsidRPr="003D2FDD">
        <w:rPr>
          <w:rFonts w:ascii="Garamond" w:hAnsi="Garamond"/>
        </w:rPr>
        <w:t xml:space="preserve">rendicontare gli indicatori comuni ed eventuali quote di cofinanziamento degli interventi con risorse comunitarie sulla base delle informazioni inserite dai </w:t>
      </w:r>
      <w:r w:rsidR="00267995">
        <w:rPr>
          <w:rFonts w:ascii="Garamond" w:hAnsi="Garamond"/>
        </w:rPr>
        <w:t>S</w:t>
      </w:r>
      <w:r w:rsidRPr="003D2FDD">
        <w:rPr>
          <w:rFonts w:ascii="Garamond" w:hAnsi="Garamond"/>
        </w:rPr>
        <w:t xml:space="preserve">oggetti </w:t>
      </w:r>
      <w:r w:rsidR="00267995">
        <w:rPr>
          <w:rFonts w:ascii="Garamond" w:hAnsi="Garamond"/>
        </w:rPr>
        <w:t>A</w:t>
      </w:r>
      <w:r w:rsidRPr="003D2FDD">
        <w:rPr>
          <w:rFonts w:ascii="Garamond" w:hAnsi="Garamond"/>
        </w:rPr>
        <w:t>ttuatori e/o delegati</w:t>
      </w:r>
      <w:r>
        <w:rPr>
          <w:rFonts w:ascii="Garamond" w:hAnsi="Garamond"/>
        </w:rPr>
        <w:t>;</w:t>
      </w:r>
    </w:p>
    <w:p w14:paraId="70F533BD" w14:textId="7B71C8DB" w:rsidR="00230EF2" w:rsidRPr="00164566" w:rsidRDefault="00230EF2" w:rsidP="008B77EF">
      <w:pPr>
        <w:pStyle w:val="Paragrafoelenco"/>
        <w:numPr>
          <w:ilvl w:val="0"/>
          <w:numId w:val="1"/>
        </w:numPr>
        <w:ind w:left="644"/>
        <w:jc w:val="both"/>
        <w:rPr>
          <w:rFonts w:ascii="Garamond" w:hAnsi="Garamond"/>
        </w:rPr>
      </w:pPr>
      <w:r w:rsidRPr="567E1E70">
        <w:rPr>
          <w:rFonts w:ascii="Garamond" w:hAnsi="Garamond"/>
        </w:rPr>
        <w:t xml:space="preserve">attivare, anche previa segnalazione delle criticità </w:t>
      </w:r>
      <w:r w:rsidR="00F952CD">
        <w:rPr>
          <w:rFonts w:ascii="Garamond" w:hAnsi="Garamond"/>
        </w:rPr>
        <w:t>emerse nell’ambito dell’Osservatorio del Sistema Duale sulla base dei dati di monitoraggio</w:t>
      </w:r>
      <w:r w:rsidRPr="567E1E70">
        <w:rPr>
          <w:rFonts w:ascii="Garamond" w:hAnsi="Garamond"/>
        </w:rPr>
        <w:t>, l’iter procedurale finalizzato all’esercizio dei poteri sostituivi di cui all’art. 12, comma 1, del decreto-legge 31 maggio 2021, n. 77;</w:t>
      </w:r>
    </w:p>
    <w:p w14:paraId="7045AAE7" w14:textId="0A30201F" w:rsidR="00CF7B03" w:rsidRDefault="00230EF2" w:rsidP="008B77EF">
      <w:pPr>
        <w:pStyle w:val="Paragrafoelenco"/>
        <w:numPr>
          <w:ilvl w:val="0"/>
          <w:numId w:val="1"/>
        </w:numPr>
        <w:ind w:left="644"/>
        <w:jc w:val="both"/>
        <w:rPr>
          <w:rFonts w:ascii="Garamond" w:hAnsi="Garamond"/>
        </w:rPr>
      </w:pPr>
      <w:r w:rsidRPr="567E1E70">
        <w:rPr>
          <w:rFonts w:ascii="Garamond" w:hAnsi="Garamond"/>
        </w:rPr>
        <w:t>adottare, in attuazione degli indirizzi forniti dal Servizio Centrale per il Coordinamento del PNRR, le iniziative necessarie a prevenire le frodi, la corruzione, il conflitto di interessi e</w:t>
      </w:r>
      <w:r w:rsidR="00FF1538">
        <w:rPr>
          <w:rFonts w:ascii="Garamond" w:hAnsi="Garamond"/>
        </w:rPr>
        <w:t xml:space="preserve"> ad</w:t>
      </w:r>
      <w:r w:rsidRPr="567E1E70">
        <w:rPr>
          <w:rFonts w:ascii="Garamond" w:hAnsi="Garamond"/>
        </w:rPr>
        <w:t xml:space="preserve"> evitare il doppio finanziamento pubblico degli interventi, anche attraverso collaborazioni con altre Amministrazioni e/o adottando procedure di controllo automatizzato mediante l’incrocio di banche dati;</w:t>
      </w:r>
    </w:p>
    <w:p w14:paraId="165987B1" w14:textId="1CE487DB" w:rsidR="00CF7B03" w:rsidRPr="00CF7B03" w:rsidRDefault="00CF7B03" w:rsidP="00390FE3">
      <w:pPr>
        <w:pStyle w:val="Paragrafoelenco"/>
        <w:numPr>
          <w:ilvl w:val="0"/>
          <w:numId w:val="1"/>
        </w:numPr>
        <w:ind w:left="644"/>
        <w:jc w:val="both"/>
        <w:rPr>
          <w:rFonts w:ascii="Garamond" w:hAnsi="Garamond"/>
        </w:rPr>
      </w:pPr>
      <w:r w:rsidRPr="00CF7B03">
        <w:rPr>
          <w:rFonts w:ascii="Garamond" w:hAnsi="Garamond"/>
        </w:rPr>
        <w:t>erogare le risorse previa presentazione</w:t>
      </w:r>
      <w:r w:rsidR="002A3591">
        <w:rPr>
          <w:rFonts w:ascii="Garamond" w:hAnsi="Garamond"/>
        </w:rPr>
        <w:t>,</w:t>
      </w:r>
      <w:r w:rsidRPr="00CF7B03">
        <w:rPr>
          <w:rFonts w:ascii="Garamond" w:hAnsi="Garamond"/>
        </w:rPr>
        <w:t xml:space="preserve"> da parte del Soggetto </w:t>
      </w:r>
      <w:r w:rsidR="000D13A8">
        <w:rPr>
          <w:rFonts w:ascii="Garamond" w:hAnsi="Garamond"/>
        </w:rPr>
        <w:t>A</w:t>
      </w:r>
      <w:r w:rsidRPr="00CF7B03">
        <w:rPr>
          <w:rFonts w:ascii="Garamond" w:hAnsi="Garamond"/>
        </w:rPr>
        <w:t>ttuatore o suo delegato responsabile dell’attuazione degli interventi</w:t>
      </w:r>
      <w:r w:rsidR="002A3591">
        <w:rPr>
          <w:rFonts w:ascii="Garamond" w:hAnsi="Garamond"/>
        </w:rPr>
        <w:t>,</w:t>
      </w:r>
      <w:r w:rsidRPr="00CF7B03">
        <w:rPr>
          <w:rFonts w:ascii="Garamond" w:hAnsi="Garamond"/>
        </w:rPr>
        <w:t xml:space="preserve"> della prescritta richiesta di anticipo, </w:t>
      </w:r>
      <w:r w:rsidRPr="00360AAB">
        <w:rPr>
          <w:rFonts w:ascii="Garamond" w:hAnsi="Garamond"/>
        </w:rPr>
        <w:t>di pagamento intermedio</w:t>
      </w:r>
      <w:r w:rsidRPr="00CF7B03">
        <w:rPr>
          <w:rFonts w:ascii="Garamond" w:hAnsi="Garamond"/>
        </w:rPr>
        <w:t xml:space="preserve"> e di saldo, verificata la ricorrenza dei presupposti per l’erogazione e le disponibilità;</w:t>
      </w:r>
    </w:p>
    <w:p w14:paraId="5FFE9FA7" w14:textId="77777777" w:rsidR="00230EF2" w:rsidRPr="00164566" w:rsidRDefault="00230EF2" w:rsidP="00390FE3">
      <w:pPr>
        <w:pStyle w:val="Paragrafoelenco"/>
        <w:numPr>
          <w:ilvl w:val="0"/>
          <w:numId w:val="1"/>
        </w:numPr>
        <w:ind w:left="644"/>
        <w:jc w:val="both"/>
        <w:rPr>
          <w:rFonts w:ascii="Garamond" w:hAnsi="Garamond"/>
        </w:rPr>
      </w:pPr>
      <w:r w:rsidRPr="567E1E70">
        <w:rPr>
          <w:rFonts w:ascii="Garamond" w:hAnsi="Garamond"/>
        </w:rPr>
        <w:t>garantire l'avvio delle procedure di recupero e restituzione, anche mediante compensazione delle risorse indebitamente utilizzate.</w:t>
      </w:r>
      <w:r w:rsidRPr="00164566">
        <w:rPr>
          <w:rFonts w:ascii="Garamond" w:hAnsi="Garamond"/>
        </w:rPr>
        <w:tab/>
      </w:r>
    </w:p>
    <w:p w14:paraId="63688DB2" w14:textId="77777777" w:rsidR="00230EF2" w:rsidRPr="0077142B" w:rsidRDefault="00230EF2" w:rsidP="00390FE3">
      <w:pPr>
        <w:jc w:val="center"/>
        <w:rPr>
          <w:rFonts w:ascii="Garamond" w:hAnsi="Garamond"/>
          <w:b/>
          <w:bCs/>
        </w:rPr>
      </w:pPr>
    </w:p>
    <w:p w14:paraId="177A8867" w14:textId="41F2183D" w:rsidR="00A05084" w:rsidRPr="0077142B" w:rsidRDefault="00A05084" w:rsidP="003C1AC7">
      <w:pPr>
        <w:jc w:val="center"/>
        <w:rPr>
          <w:rFonts w:ascii="Garamond" w:hAnsi="Garamond"/>
          <w:b/>
          <w:bCs/>
        </w:rPr>
      </w:pPr>
      <w:r w:rsidRPr="0077142B">
        <w:rPr>
          <w:rFonts w:ascii="Garamond" w:hAnsi="Garamond"/>
          <w:b/>
          <w:bCs/>
        </w:rPr>
        <w:t>Articolo 4 bis</w:t>
      </w:r>
    </w:p>
    <w:p w14:paraId="18EB0C3C" w14:textId="052E1109" w:rsidR="005E1159" w:rsidRDefault="005E1159" w:rsidP="005D5066">
      <w:pPr>
        <w:jc w:val="center"/>
        <w:rPr>
          <w:rFonts w:ascii="Garamond" w:hAnsi="Garamond"/>
          <w:b/>
          <w:bCs/>
        </w:rPr>
      </w:pPr>
      <w:r w:rsidRPr="7D979DFE">
        <w:rPr>
          <w:rFonts w:ascii="Garamond" w:hAnsi="Garamond"/>
          <w:b/>
          <w:bCs/>
        </w:rPr>
        <w:t>(</w:t>
      </w:r>
      <w:r w:rsidR="000918F6">
        <w:rPr>
          <w:rFonts w:ascii="Garamond" w:hAnsi="Garamond"/>
          <w:b/>
          <w:bCs/>
        </w:rPr>
        <w:t>Compiti in capo alla Direzione Generale delle Politiche attive del lavoro</w:t>
      </w:r>
      <w:r w:rsidR="00644780">
        <w:rPr>
          <w:rFonts w:ascii="Garamond" w:hAnsi="Garamond"/>
          <w:b/>
          <w:bCs/>
        </w:rPr>
        <w:t xml:space="preserve"> </w:t>
      </w:r>
      <w:r w:rsidR="00644780" w:rsidRPr="00360AAB">
        <w:rPr>
          <w:rFonts w:ascii="Garamond" w:hAnsi="Garamond"/>
          <w:b/>
          <w:bCs/>
        </w:rPr>
        <w:t>– Amministrazione attuatrice</w:t>
      </w:r>
      <w:r w:rsidRPr="7D979DFE">
        <w:rPr>
          <w:rFonts w:ascii="Garamond" w:hAnsi="Garamond"/>
          <w:b/>
          <w:bCs/>
        </w:rPr>
        <w:t>)</w:t>
      </w:r>
    </w:p>
    <w:p w14:paraId="0C4124A7" w14:textId="7BC7EEB0" w:rsidR="005E1159" w:rsidRPr="00E8765B" w:rsidRDefault="005E1159" w:rsidP="00F267A7">
      <w:pPr>
        <w:jc w:val="both"/>
        <w:rPr>
          <w:rFonts w:ascii="Garamond" w:hAnsi="Garamond"/>
        </w:rPr>
      </w:pPr>
      <w:r w:rsidRPr="62E88E0E">
        <w:rPr>
          <w:rFonts w:ascii="Garamond" w:hAnsi="Garamond"/>
        </w:rPr>
        <w:t xml:space="preserve">1. Con la sottoscrizione del presente </w:t>
      </w:r>
      <w:r w:rsidR="00C36DB7">
        <w:rPr>
          <w:rFonts w:ascii="Garamond" w:hAnsi="Garamond"/>
        </w:rPr>
        <w:t>A</w:t>
      </w:r>
      <w:r w:rsidRPr="62E88E0E">
        <w:rPr>
          <w:rFonts w:ascii="Garamond" w:hAnsi="Garamond"/>
        </w:rPr>
        <w:t>ccordo, la DG Politiche Attive, in attuazione del Decreto del Ministro del Lavoro e delle Politiche Sociali di concerto con il Ministro dell’Economia e delle Finanze del</w:t>
      </w:r>
      <w:r w:rsidR="00C36DB7">
        <w:rPr>
          <w:rFonts w:ascii="Garamond" w:hAnsi="Garamond"/>
        </w:rPr>
        <w:t>l’</w:t>
      </w:r>
      <w:r w:rsidRPr="62E88E0E">
        <w:rPr>
          <w:rFonts w:ascii="Garamond" w:hAnsi="Garamond"/>
        </w:rPr>
        <w:t xml:space="preserve">11/10/2021, concernente l’istituzione </w:t>
      </w:r>
      <w:r w:rsidRPr="008F7623">
        <w:rPr>
          <w:rFonts w:ascii="Garamond" w:hAnsi="Garamond"/>
        </w:rPr>
        <w:t xml:space="preserve">dell’Unità di Missione dell’Amministrazione centrale titolare di interventi PNRR, </w:t>
      </w:r>
      <w:r w:rsidRPr="005874FD">
        <w:rPr>
          <w:rFonts w:ascii="Garamond" w:hAnsi="Garamond"/>
        </w:rPr>
        <w:t xml:space="preserve">in </w:t>
      </w:r>
      <w:r w:rsidRPr="008235DF">
        <w:rPr>
          <w:rFonts w:ascii="Garamond" w:hAnsi="Garamond"/>
        </w:rPr>
        <w:t xml:space="preserve">particolare </w:t>
      </w:r>
      <w:r w:rsidRPr="00320CC0">
        <w:rPr>
          <w:rFonts w:ascii="Garamond" w:hAnsi="Garamond"/>
        </w:rPr>
        <w:t>articolo 1 comm</w:t>
      </w:r>
      <w:r w:rsidR="00320CC0">
        <w:rPr>
          <w:rFonts w:ascii="Garamond" w:hAnsi="Garamond"/>
        </w:rPr>
        <w:t>a</w:t>
      </w:r>
      <w:r w:rsidRPr="008235DF">
        <w:rPr>
          <w:rFonts w:ascii="Garamond" w:hAnsi="Garamond"/>
        </w:rPr>
        <w:t xml:space="preserve"> 2</w:t>
      </w:r>
      <w:r w:rsidR="00F952CD" w:rsidRPr="008235DF">
        <w:rPr>
          <w:rFonts w:ascii="Garamond" w:hAnsi="Garamond"/>
        </w:rPr>
        <w:t xml:space="preserve"> e articolo 2 comma 1 lettere a) e b)</w:t>
      </w:r>
      <w:r w:rsidR="00C36DB7" w:rsidRPr="008235DF">
        <w:rPr>
          <w:rFonts w:ascii="Garamond" w:hAnsi="Garamond"/>
        </w:rPr>
        <w:t>,</w:t>
      </w:r>
      <w:r w:rsidR="00F952CD" w:rsidRPr="008235DF">
        <w:rPr>
          <w:rFonts w:ascii="Garamond" w:hAnsi="Garamond"/>
        </w:rPr>
        <w:t xml:space="preserve"> nell’ambito delle sue funzioni</w:t>
      </w:r>
      <w:r w:rsidR="00C36DB7" w:rsidRPr="008235DF">
        <w:rPr>
          <w:rFonts w:ascii="Garamond" w:hAnsi="Garamond"/>
        </w:rPr>
        <w:t>,</w:t>
      </w:r>
      <w:r w:rsidR="00F952CD" w:rsidRPr="008235DF">
        <w:rPr>
          <w:rFonts w:ascii="Garamond" w:hAnsi="Garamond"/>
        </w:rPr>
        <w:t xml:space="preserve"> concorre con l’Unità di Missione </w:t>
      </w:r>
      <w:r w:rsidR="00320CC0">
        <w:rPr>
          <w:rFonts w:ascii="Garamond" w:hAnsi="Garamond"/>
        </w:rPr>
        <w:t>a</w:t>
      </w:r>
      <w:r w:rsidR="00F952CD" w:rsidRPr="008235DF">
        <w:rPr>
          <w:rFonts w:ascii="Garamond" w:hAnsi="Garamond"/>
        </w:rPr>
        <w:t>ll’attuazione degli interventi del PNRR e al raggiungimento del relativo Obiettivo Generale dell’Investimento 1.4 Sistema duale del PNRR di competenza del Ministero del Lavoro e delle Politiche Sociali.</w:t>
      </w:r>
    </w:p>
    <w:p w14:paraId="2E63C82F" w14:textId="1E5EDEA9" w:rsidR="00F952CD" w:rsidRPr="00E8765B" w:rsidRDefault="00F952CD" w:rsidP="00F952CD">
      <w:pPr>
        <w:jc w:val="both"/>
        <w:rPr>
          <w:rFonts w:ascii="Garamond" w:hAnsi="Garamond"/>
        </w:rPr>
      </w:pPr>
      <w:r w:rsidRPr="00E8765B">
        <w:rPr>
          <w:rFonts w:ascii="Garamond" w:hAnsi="Garamond"/>
        </w:rPr>
        <w:t>2. Nell’ambito delle proprie competenze, di cui al precedente comma 1, la DG Politiche Attive assicura di:</w:t>
      </w:r>
    </w:p>
    <w:p w14:paraId="4C26F631" w14:textId="72587AEC" w:rsidR="00AC297C" w:rsidRPr="00E8765B" w:rsidRDefault="002A3A0E" w:rsidP="00E8765B">
      <w:pPr>
        <w:pStyle w:val="Paragrafoelenco"/>
        <w:numPr>
          <w:ilvl w:val="0"/>
          <w:numId w:val="6"/>
        </w:numPr>
        <w:ind w:left="360"/>
        <w:jc w:val="both"/>
        <w:rPr>
          <w:rFonts w:ascii="Garamond" w:hAnsi="Garamond"/>
        </w:rPr>
      </w:pPr>
      <w:r>
        <w:rPr>
          <w:rFonts w:ascii="Garamond" w:hAnsi="Garamond"/>
        </w:rPr>
        <w:t>m</w:t>
      </w:r>
      <w:r w:rsidR="00B9170D">
        <w:rPr>
          <w:rFonts w:ascii="Garamond" w:hAnsi="Garamond"/>
        </w:rPr>
        <w:t xml:space="preserve">odificare/aggiornare/integrare le </w:t>
      </w:r>
      <w:r w:rsidR="00AC297C">
        <w:rPr>
          <w:rFonts w:ascii="Garamond" w:hAnsi="Garamond"/>
        </w:rPr>
        <w:t>“</w:t>
      </w:r>
      <w:r w:rsidR="00B9170D" w:rsidRPr="00A014DA">
        <w:rPr>
          <w:rFonts w:ascii="Garamond" w:hAnsi="Garamond"/>
        </w:rPr>
        <w:t>Linee guida</w:t>
      </w:r>
      <w:r w:rsidR="00AC297C">
        <w:rPr>
          <w:rFonts w:ascii="Garamond" w:hAnsi="Garamond"/>
        </w:rPr>
        <w:t>”</w:t>
      </w:r>
      <w:r w:rsidR="00B9170D" w:rsidRPr="00A014DA">
        <w:rPr>
          <w:rFonts w:ascii="Garamond" w:hAnsi="Garamond"/>
        </w:rPr>
        <w:t xml:space="preserve"> relative al Sistema Duale adottate con Decreto n. 139 del 2 agosto 2022, in recepimento dell'Accordo in sede di Conferenza Stato </w:t>
      </w:r>
      <w:r w:rsidR="00B9170D">
        <w:rPr>
          <w:rFonts w:ascii="Garamond" w:hAnsi="Garamond"/>
        </w:rPr>
        <w:t>R</w:t>
      </w:r>
      <w:r w:rsidR="00B9170D" w:rsidRPr="00A014DA">
        <w:rPr>
          <w:rFonts w:ascii="Garamond" w:hAnsi="Garamond"/>
        </w:rPr>
        <w:t>egioni del 27 luglio 2022</w:t>
      </w:r>
      <w:r>
        <w:rPr>
          <w:rFonts w:ascii="Garamond" w:hAnsi="Garamond"/>
        </w:rPr>
        <w:t>,</w:t>
      </w:r>
      <w:r w:rsidR="00B9170D">
        <w:rPr>
          <w:rFonts w:ascii="Garamond" w:hAnsi="Garamond"/>
        </w:rPr>
        <w:t xml:space="preserve"> al fine di assicurare la coerenza degli interventi </w:t>
      </w:r>
      <w:r>
        <w:rPr>
          <w:rFonts w:ascii="Garamond" w:hAnsi="Garamond"/>
        </w:rPr>
        <w:t xml:space="preserve">con il </w:t>
      </w:r>
      <w:r w:rsidR="00B9170D">
        <w:rPr>
          <w:rFonts w:ascii="Garamond" w:hAnsi="Garamond"/>
        </w:rPr>
        <w:t xml:space="preserve">quadro normativo nazionale e comunitario; </w:t>
      </w:r>
    </w:p>
    <w:p w14:paraId="2384ED3C" w14:textId="76DC01A0" w:rsidR="005E1159" w:rsidRPr="00164566" w:rsidRDefault="0088247A" w:rsidP="00E8765B">
      <w:pPr>
        <w:pStyle w:val="Paragrafoelenco"/>
        <w:numPr>
          <w:ilvl w:val="0"/>
          <w:numId w:val="6"/>
        </w:numPr>
        <w:ind w:left="360"/>
        <w:jc w:val="both"/>
        <w:rPr>
          <w:rFonts w:ascii="Garamond" w:hAnsi="Garamond"/>
        </w:rPr>
      </w:pPr>
      <w:r w:rsidRPr="00C61F22">
        <w:rPr>
          <w:rFonts w:ascii="Garamond" w:hAnsi="Garamond"/>
        </w:rPr>
        <w:t>a</w:t>
      </w:r>
      <w:r w:rsidR="00B9170D" w:rsidRPr="00C61F22">
        <w:rPr>
          <w:rFonts w:ascii="Garamond" w:hAnsi="Garamond"/>
        </w:rPr>
        <w:t>pprovare i</w:t>
      </w:r>
      <w:r w:rsidR="00611E82" w:rsidRPr="00C61F22">
        <w:rPr>
          <w:rFonts w:ascii="Garamond" w:hAnsi="Garamond"/>
        </w:rPr>
        <w:t xml:space="preserve">l Documento di Programmazione regionale </w:t>
      </w:r>
      <w:r w:rsidR="00AC297C" w:rsidRPr="00C61F22">
        <w:rPr>
          <w:rFonts w:ascii="Garamond" w:hAnsi="Garamond"/>
        </w:rPr>
        <w:t xml:space="preserve">del Soggetto Attuatore </w:t>
      </w:r>
      <w:r w:rsidR="00B9170D" w:rsidRPr="00C61F22">
        <w:rPr>
          <w:rFonts w:ascii="Garamond" w:hAnsi="Garamond"/>
        </w:rPr>
        <w:t>e successiv</w:t>
      </w:r>
      <w:r w:rsidR="00AC297C" w:rsidRPr="00C61F22">
        <w:rPr>
          <w:rFonts w:ascii="Garamond" w:hAnsi="Garamond"/>
        </w:rPr>
        <w:t xml:space="preserve">i aggiornamenti </w:t>
      </w:r>
      <w:r w:rsidR="00B9170D" w:rsidRPr="00C61F22">
        <w:rPr>
          <w:rFonts w:ascii="Garamond" w:hAnsi="Garamond"/>
        </w:rPr>
        <w:t>e</w:t>
      </w:r>
      <w:r w:rsidR="00B9170D">
        <w:rPr>
          <w:rFonts w:ascii="Garamond" w:hAnsi="Garamond"/>
        </w:rPr>
        <w:t xml:space="preserve"> integrazioni</w:t>
      </w:r>
      <w:r w:rsidR="005E1159" w:rsidRPr="567E1E70">
        <w:rPr>
          <w:rFonts w:ascii="Garamond" w:hAnsi="Garamond"/>
        </w:rPr>
        <w:t>;</w:t>
      </w:r>
    </w:p>
    <w:p w14:paraId="79B309BC" w14:textId="6A844037" w:rsidR="00C36DB7" w:rsidRDefault="00DA0861" w:rsidP="00C36DB7">
      <w:pPr>
        <w:pStyle w:val="Paragrafoelenco"/>
        <w:numPr>
          <w:ilvl w:val="0"/>
          <w:numId w:val="6"/>
        </w:numPr>
        <w:ind w:left="360"/>
        <w:jc w:val="both"/>
        <w:rPr>
          <w:rFonts w:ascii="Garamond" w:hAnsi="Garamond"/>
        </w:rPr>
      </w:pPr>
      <w:r w:rsidRPr="429B7B44">
        <w:rPr>
          <w:rFonts w:ascii="Garamond" w:hAnsi="Garamond"/>
        </w:rPr>
        <w:t>d</w:t>
      </w:r>
      <w:r w:rsidR="005E1159" w:rsidRPr="429B7B44">
        <w:rPr>
          <w:rFonts w:ascii="Garamond" w:hAnsi="Garamond"/>
        </w:rPr>
        <w:t xml:space="preserve">efinire e/o adeguare </w:t>
      </w:r>
      <w:r w:rsidR="00AC297C" w:rsidRPr="429B7B44">
        <w:rPr>
          <w:rFonts w:ascii="Garamond" w:hAnsi="Garamond"/>
        </w:rPr>
        <w:t xml:space="preserve">i </w:t>
      </w:r>
      <w:r w:rsidR="005E1159" w:rsidRPr="429B7B44">
        <w:rPr>
          <w:rFonts w:ascii="Garamond" w:hAnsi="Garamond"/>
        </w:rPr>
        <w:t>criteri di riparto delle risorse</w:t>
      </w:r>
      <w:r w:rsidR="00B9170D" w:rsidRPr="429B7B44">
        <w:rPr>
          <w:rFonts w:ascii="Garamond" w:hAnsi="Garamond"/>
        </w:rPr>
        <w:t xml:space="preserve">, </w:t>
      </w:r>
      <w:r w:rsidR="00AC297C" w:rsidRPr="429B7B44">
        <w:rPr>
          <w:rFonts w:ascii="Garamond" w:hAnsi="Garamond"/>
        </w:rPr>
        <w:t>da adottare con apposito</w:t>
      </w:r>
      <w:r w:rsidR="00CB65E4" w:rsidRPr="429B7B44">
        <w:rPr>
          <w:rFonts w:ascii="Garamond" w:hAnsi="Garamond"/>
        </w:rPr>
        <w:t xml:space="preserve"> </w:t>
      </w:r>
      <w:r w:rsidR="00AC297C" w:rsidRPr="429B7B44">
        <w:rPr>
          <w:rFonts w:ascii="Garamond" w:hAnsi="Garamond"/>
        </w:rPr>
        <w:t>D</w:t>
      </w:r>
      <w:r w:rsidR="00B9170D" w:rsidRPr="429B7B44">
        <w:rPr>
          <w:rFonts w:ascii="Garamond" w:hAnsi="Garamond"/>
        </w:rPr>
        <w:t>ecreto</w:t>
      </w:r>
      <w:r w:rsidR="002C18F9" w:rsidRPr="429B7B44">
        <w:rPr>
          <w:rFonts w:ascii="Garamond" w:hAnsi="Garamond"/>
        </w:rPr>
        <w:t xml:space="preserve"> e</w:t>
      </w:r>
      <w:r w:rsidR="00B9170D" w:rsidRPr="429B7B44">
        <w:rPr>
          <w:rFonts w:ascii="Garamond" w:hAnsi="Garamond"/>
        </w:rPr>
        <w:t xml:space="preserve"> definire</w:t>
      </w:r>
      <w:r w:rsidR="006828D1" w:rsidRPr="429B7B44">
        <w:rPr>
          <w:rFonts w:ascii="Garamond" w:hAnsi="Garamond"/>
        </w:rPr>
        <w:t>,</w:t>
      </w:r>
      <w:r w:rsidR="00AC297C" w:rsidRPr="429B7B44">
        <w:rPr>
          <w:rFonts w:ascii="Garamond" w:hAnsi="Garamond"/>
        </w:rPr>
        <w:t xml:space="preserve"> </w:t>
      </w:r>
      <w:r w:rsidR="005963D5" w:rsidRPr="429B7B44">
        <w:rPr>
          <w:rFonts w:ascii="Garamond" w:hAnsi="Garamond"/>
        </w:rPr>
        <w:t>acquisito il preventivo nulla osta da parte dell’</w:t>
      </w:r>
      <w:r w:rsidR="6EECFD9B" w:rsidRPr="429B7B44">
        <w:rPr>
          <w:rFonts w:ascii="Garamond" w:hAnsi="Garamond"/>
        </w:rPr>
        <w:t xml:space="preserve"> </w:t>
      </w:r>
      <w:r w:rsidR="005963D5" w:rsidRPr="429B7B44">
        <w:rPr>
          <w:rFonts w:ascii="Garamond" w:hAnsi="Garamond"/>
        </w:rPr>
        <w:t>Amministrazione centrale titolare di interventi PNRR</w:t>
      </w:r>
      <w:r w:rsidR="006828D1" w:rsidRPr="429B7B44">
        <w:rPr>
          <w:rFonts w:ascii="Garamond" w:hAnsi="Garamond"/>
        </w:rPr>
        <w:t xml:space="preserve"> e/o del Servizio centrale di coordinamento del PNRR</w:t>
      </w:r>
      <w:r w:rsidR="005963D5" w:rsidRPr="429B7B44">
        <w:rPr>
          <w:rFonts w:ascii="Garamond" w:hAnsi="Garamond"/>
        </w:rPr>
        <w:t xml:space="preserve">, </w:t>
      </w:r>
      <w:r w:rsidR="00AC297C" w:rsidRPr="429B7B44">
        <w:rPr>
          <w:rFonts w:ascii="Garamond" w:hAnsi="Garamond"/>
        </w:rPr>
        <w:t>la ripartizione</w:t>
      </w:r>
      <w:r w:rsidR="00FF5C88" w:rsidRPr="429B7B44">
        <w:rPr>
          <w:rFonts w:ascii="Garamond" w:hAnsi="Garamond"/>
        </w:rPr>
        <w:t xml:space="preserve"> delle risorse </w:t>
      </w:r>
      <w:r w:rsidR="00B9170D" w:rsidRPr="429B7B44">
        <w:rPr>
          <w:rFonts w:ascii="Garamond" w:hAnsi="Garamond"/>
        </w:rPr>
        <w:t>adotta</w:t>
      </w:r>
      <w:r w:rsidR="00FF5C88" w:rsidRPr="429B7B44">
        <w:rPr>
          <w:rFonts w:ascii="Garamond" w:hAnsi="Garamond"/>
        </w:rPr>
        <w:t>ndo</w:t>
      </w:r>
      <w:r w:rsidR="00B9170D" w:rsidRPr="429B7B44">
        <w:rPr>
          <w:rFonts w:ascii="Garamond" w:hAnsi="Garamond"/>
        </w:rPr>
        <w:t xml:space="preserve"> il </w:t>
      </w:r>
      <w:r w:rsidR="00FF5C88" w:rsidRPr="429B7B44">
        <w:rPr>
          <w:rFonts w:ascii="Garamond" w:hAnsi="Garamond"/>
        </w:rPr>
        <w:t xml:space="preserve">relativo </w:t>
      </w:r>
      <w:r w:rsidR="00AC297C" w:rsidRPr="429B7B44">
        <w:rPr>
          <w:rFonts w:ascii="Garamond" w:hAnsi="Garamond"/>
        </w:rPr>
        <w:t>D</w:t>
      </w:r>
      <w:r w:rsidR="00B9170D" w:rsidRPr="429B7B44">
        <w:rPr>
          <w:rFonts w:ascii="Garamond" w:hAnsi="Garamond"/>
        </w:rPr>
        <w:t>ecreto</w:t>
      </w:r>
      <w:r w:rsidR="005E1159" w:rsidRPr="429B7B44">
        <w:rPr>
          <w:rFonts w:ascii="Garamond" w:hAnsi="Garamond"/>
        </w:rPr>
        <w:t>;</w:t>
      </w:r>
    </w:p>
    <w:p w14:paraId="393732EA" w14:textId="005DC011" w:rsidR="00AC297C" w:rsidRPr="00E8765B" w:rsidRDefault="00AC297C" w:rsidP="00E8765B">
      <w:pPr>
        <w:pStyle w:val="Paragrafoelenco"/>
        <w:numPr>
          <w:ilvl w:val="0"/>
          <w:numId w:val="6"/>
        </w:numPr>
        <w:ind w:left="360"/>
        <w:jc w:val="both"/>
        <w:rPr>
          <w:rFonts w:ascii="Garamond" w:hAnsi="Garamond"/>
        </w:rPr>
      </w:pPr>
      <w:r w:rsidRPr="00E8765B">
        <w:rPr>
          <w:rFonts w:ascii="Garamond" w:hAnsi="Garamond"/>
        </w:rPr>
        <w:t>concorrere alle funzioni di presidio sull’attuazione degli interventi del PNRR, di cui al comma 1</w:t>
      </w:r>
      <w:r w:rsidR="00164362">
        <w:rPr>
          <w:rFonts w:ascii="Garamond" w:hAnsi="Garamond"/>
        </w:rPr>
        <w:t>,</w:t>
      </w:r>
      <w:r w:rsidR="00C36DB7" w:rsidRPr="00E8765B">
        <w:rPr>
          <w:rFonts w:ascii="Garamond" w:hAnsi="Garamond"/>
        </w:rPr>
        <w:t xml:space="preserve"> </w:t>
      </w:r>
      <w:r w:rsidR="005963D5" w:rsidRPr="005963D5">
        <w:rPr>
          <w:rFonts w:ascii="Garamond" w:hAnsi="Garamond"/>
        </w:rPr>
        <w:t>anche</w:t>
      </w:r>
      <w:r w:rsidR="005963D5">
        <w:rPr>
          <w:rFonts w:ascii="Garamond" w:hAnsi="Garamond"/>
        </w:rPr>
        <w:t xml:space="preserve"> </w:t>
      </w:r>
      <w:r w:rsidRPr="00E8765B">
        <w:rPr>
          <w:rFonts w:ascii="Garamond" w:hAnsi="Garamond"/>
        </w:rPr>
        <w:t>organizzando e coordinando i lavori dell’Osservatorio del Sistema Duale, previsto dalle “Linee guida” e istituito con Decreto a n.76 del 20 settembre 2022</w:t>
      </w:r>
      <w:r w:rsidR="002361C3">
        <w:rPr>
          <w:rFonts w:ascii="Garamond" w:hAnsi="Garamond"/>
        </w:rPr>
        <w:t>.</w:t>
      </w:r>
    </w:p>
    <w:p w14:paraId="16B2CE0E" w14:textId="77777777" w:rsidR="00C36DB7" w:rsidRPr="00E8765B" w:rsidRDefault="00C36DB7" w:rsidP="00E8765B">
      <w:pPr>
        <w:jc w:val="both"/>
        <w:rPr>
          <w:rFonts w:ascii="Garamond" w:hAnsi="Garamond"/>
          <w:strike/>
        </w:rPr>
      </w:pPr>
      <w:r w:rsidRPr="00E8765B">
        <w:rPr>
          <w:rFonts w:ascii="Garamond" w:hAnsi="Garamond"/>
        </w:rPr>
        <w:t>Nei compiti di cui alle lettere a) e c) la DG Politiche Attive si avvale del parere dell’Osservatorio del Sistema Duale.</w:t>
      </w:r>
    </w:p>
    <w:p w14:paraId="5F7E9B8C" w14:textId="7185F863" w:rsidR="00A90FC9" w:rsidRPr="00A90FC9" w:rsidRDefault="00CB65E4" w:rsidP="00267995">
      <w:pPr>
        <w:jc w:val="both"/>
        <w:rPr>
          <w:rFonts w:ascii="Garamond" w:hAnsi="Garamond"/>
        </w:rPr>
      </w:pPr>
      <w:r>
        <w:rPr>
          <w:rFonts w:ascii="Garamond" w:hAnsi="Garamond"/>
        </w:rPr>
        <w:t xml:space="preserve">3. </w:t>
      </w:r>
      <w:r w:rsidR="005E1159" w:rsidRPr="008F7623">
        <w:rPr>
          <w:rFonts w:ascii="Garamond" w:hAnsi="Garamond"/>
        </w:rPr>
        <w:t>Qualora</w:t>
      </w:r>
      <w:r w:rsidR="00C36DB7" w:rsidRPr="008F7623">
        <w:rPr>
          <w:rFonts w:ascii="Garamond" w:hAnsi="Garamond"/>
        </w:rPr>
        <w:t xml:space="preserve"> dai dati di monitoraggio, validati dall’Amministrazione centrale titolare di interventi PNRR ai sensi dell’art. 4,</w:t>
      </w:r>
      <w:r w:rsidR="005E1159" w:rsidRPr="005874FD">
        <w:rPr>
          <w:rFonts w:ascii="Garamond" w:hAnsi="Garamond"/>
        </w:rPr>
        <w:t xml:space="preserve"> emergano criticità nel raggiungimento degli obiettivi</w:t>
      </w:r>
      <w:r w:rsidR="00C36DB7" w:rsidRPr="005874FD">
        <w:rPr>
          <w:rFonts w:ascii="Garamond" w:hAnsi="Garamond"/>
        </w:rPr>
        <w:t xml:space="preserve"> fissati dal PNRR</w:t>
      </w:r>
      <w:r w:rsidR="005E1159" w:rsidRPr="00FF76A8">
        <w:rPr>
          <w:rFonts w:ascii="Garamond" w:hAnsi="Garamond"/>
        </w:rPr>
        <w:t>, la DG Politiche Attive</w:t>
      </w:r>
      <w:r w:rsidR="005E1159" w:rsidRPr="00C36DB7">
        <w:rPr>
          <w:rFonts w:ascii="Garamond" w:hAnsi="Garamond"/>
        </w:rPr>
        <w:t>,</w:t>
      </w:r>
      <w:r w:rsidR="00C36DB7" w:rsidRPr="00C36DB7">
        <w:rPr>
          <w:rFonts w:ascii="Garamond" w:hAnsi="Garamond"/>
        </w:rPr>
        <w:t xml:space="preserve"> </w:t>
      </w:r>
      <w:r w:rsidR="00B9170D" w:rsidRPr="00C36DB7">
        <w:rPr>
          <w:rFonts w:ascii="Garamond" w:hAnsi="Garamond"/>
        </w:rPr>
        <w:t xml:space="preserve">in raccordo </w:t>
      </w:r>
      <w:r w:rsidR="005E1159" w:rsidRPr="00C36DB7">
        <w:rPr>
          <w:rFonts w:ascii="Garamond" w:hAnsi="Garamond"/>
        </w:rPr>
        <w:t xml:space="preserve">con l’Unità di Missione </w:t>
      </w:r>
      <w:r w:rsidR="00C36DB7" w:rsidRPr="00E8765B">
        <w:rPr>
          <w:rFonts w:ascii="Garamond" w:hAnsi="Garamond"/>
        </w:rPr>
        <w:t>e nell’ambito dell’Osservatorio del Sistema Duale</w:t>
      </w:r>
      <w:r w:rsidR="00164362">
        <w:rPr>
          <w:rFonts w:ascii="Garamond" w:hAnsi="Garamond"/>
        </w:rPr>
        <w:t>,</w:t>
      </w:r>
      <w:r w:rsidR="00C36DB7" w:rsidRPr="005874FD">
        <w:rPr>
          <w:rFonts w:ascii="Garamond" w:hAnsi="Garamond"/>
        </w:rPr>
        <w:t xml:space="preserve"> </w:t>
      </w:r>
      <w:r w:rsidR="00C36DB7" w:rsidRPr="00C36DB7">
        <w:rPr>
          <w:rFonts w:ascii="Garamond" w:hAnsi="Garamond"/>
        </w:rPr>
        <w:t>promuove</w:t>
      </w:r>
      <w:r>
        <w:rPr>
          <w:rFonts w:ascii="Garamond" w:hAnsi="Garamond"/>
        </w:rPr>
        <w:t xml:space="preserve"> </w:t>
      </w:r>
      <w:r w:rsidR="005E1159" w:rsidRPr="00C36DB7">
        <w:rPr>
          <w:rFonts w:ascii="Garamond" w:hAnsi="Garamond"/>
        </w:rPr>
        <w:t>interventi di tutoraggio</w:t>
      </w:r>
      <w:r w:rsidR="00C36DB7" w:rsidRPr="00E8765B">
        <w:rPr>
          <w:rFonts w:ascii="Garamond" w:hAnsi="Garamond"/>
        </w:rPr>
        <w:t xml:space="preserve"> in favore delle Regioni</w:t>
      </w:r>
      <w:r w:rsidR="00164362">
        <w:rPr>
          <w:rFonts w:ascii="Garamond" w:hAnsi="Garamond"/>
        </w:rPr>
        <w:t>/Province autonome</w:t>
      </w:r>
      <w:r w:rsidR="00C36DB7" w:rsidRPr="00E8765B">
        <w:rPr>
          <w:rFonts w:ascii="Garamond" w:hAnsi="Garamond"/>
        </w:rPr>
        <w:t xml:space="preserve"> che presentano particolari ritardi nell'attuazione</w:t>
      </w:r>
      <w:r w:rsidR="005E1159" w:rsidRPr="008F7623">
        <w:rPr>
          <w:rFonts w:ascii="Garamond" w:hAnsi="Garamond"/>
        </w:rPr>
        <w:t xml:space="preserve">, fermi restando </w:t>
      </w:r>
      <w:r w:rsidR="005E1159" w:rsidRPr="00CC3934">
        <w:rPr>
          <w:rFonts w:ascii="Garamond" w:hAnsi="Garamond"/>
        </w:rPr>
        <w:t>i poteri sostitutivi di cui all'articolo 12, comma 1, del decreto-legge 31 maggio 2021, n. 77</w:t>
      </w:r>
      <w:r w:rsidR="00164362">
        <w:rPr>
          <w:rFonts w:ascii="Garamond" w:hAnsi="Garamond"/>
        </w:rPr>
        <w:t>.</w:t>
      </w:r>
    </w:p>
    <w:p w14:paraId="279AC09D" w14:textId="51BB2B43" w:rsidR="00C61F22" w:rsidRDefault="00C61F22" w:rsidP="00F952CD">
      <w:pPr>
        <w:jc w:val="center"/>
        <w:rPr>
          <w:rFonts w:ascii="Garamond" w:hAnsi="Garamond"/>
          <w:b/>
          <w:bCs/>
        </w:rPr>
      </w:pPr>
    </w:p>
    <w:p w14:paraId="14778D72" w14:textId="77777777" w:rsidR="00C61F22" w:rsidRDefault="00C61F22" w:rsidP="00F952CD">
      <w:pPr>
        <w:jc w:val="center"/>
        <w:rPr>
          <w:rFonts w:ascii="Garamond" w:hAnsi="Garamond"/>
          <w:b/>
          <w:bCs/>
        </w:rPr>
      </w:pPr>
    </w:p>
    <w:p w14:paraId="18C1F92C" w14:textId="3B96E9F9" w:rsidR="00DB6020" w:rsidRPr="0077142B" w:rsidRDefault="00DB6020" w:rsidP="00F952CD">
      <w:pPr>
        <w:jc w:val="center"/>
        <w:rPr>
          <w:rFonts w:ascii="Garamond" w:hAnsi="Garamond"/>
          <w:b/>
          <w:bCs/>
        </w:rPr>
      </w:pPr>
      <w:r w:rsidRPr="0077142B">
        <w:rPr>
          <w:rFonts w:ascii="Garamond" w:hAnsi="Garamond"/>
          <w:b/>
          <w:bCs/>
        </w:rPr>
        <w:t>Articolo 5</w:t>
      </w:r>
    </w:p>
    <w:p w14:paraId="6480DDC1" w14:textId="0FDEA4CF" w:rsidR="00DB6020" w:rsidRDefault="00DB6020" w:rsidP="00F952CD">
      <w:pPr>
        <w:jc w:val="center"/>
        <w:rPr>
          <w:rFonts w:ascii="Garamond" w:hAnsi="Garamond"/>
          <w:b/>
          <w:bCs/>
        </w:rPr>
      </w:pPr>
      <w:r w:rsidRPr="0077142B">
        <w:rPr>
          <w:rFonts w:ascii="Garamond" w:hAnsi="Garamond"/>
          <w:b/>
          <w:bCs/>
        </w:rPr>
        <w:t>(Compiti in capo</w:t>
      </w:r>
      <w:r w:rsidR="006543DF">
        <w:rPr>
          <w:rFonts w:ascii="Garamond" w:hAnsi="Garamond"/>
          <w:b/>
          <w:bCs/>
        </w:rPr>
        <w:t xml:space="preserve"> al Soggetto Attuatore</w:t>
      </w:r>
      <w:r w:rsidRPr="0077142B">
        <w:rPr>
          <w:rFonts w:ascii="Garamond" w:hAnsi="Garamond"/>
          <w:b/>
          <w:bCs/>
        </w:rPr>
        <w:t>)</w:t>
      </w:r>
    </w:p>
    <w:p w14:paraId="3C6AA300" w14:textId="286069AE" w:rsidR="00631E64" w:rsidRPr="0077142B" w:rsidRDefault="00631E64" w:rsidP="00F952CD">
      <w:pPr>
        <w:jc w:val="both"/>
        <w:rPr>
          <w:rFonts w:ascii="Garamond" w:hAnsi="Garamond"/>
        </w:rPr>
      </w:pPr>
      <w:r w:rsidRPr="40F0DAC6">
        <w:rPr>
          <w:rFonts w:ascii="Garamond" w:hAnsi="Garamond"/>
        </w:rPr>
        <w:t xml:space="preserve">1. Con la sottoscrizione del presente accordo, </w:t>
      </w:r>
      <w:r w:rsidR="00DA714B">
        <w:rPr>
          <w:rFonts w:ascii="Garamond" w:hAnsi="Garamond"/>
        </w:rPr>
        <w:t>il Soggetto Attuatore</w:t>
      </w:r>
      <w:r w:rsidRPr="40F0DAC6">
        <w:rPr>
          <w:rFonts w:ascii="Garamond" w:hAnsi="Garamond"/>
        </w:rPr>
        <w:t>, nel rispetto di quanto previsto dall’art. 9 Decreto Legge del 31 maggio 2021 n. 77, convertito con modificazioni dalla legge del 29 luglio 2021 n. 108 si obbliga a:</w:t>
      </w:r>
    </w:p>
    <w:p w14:paraId="2171FB72" w14:textId="2A56DCA5" w:rsidR="00446F1D" w:rsidRDefault="00AC39C3" w:rsidP="00F952CD">
      <w:pPr>
        <w:pStyle w:val="Paragrafoelenco"/>
        <w:numPr>
          <w:ilvl w:val="0"/>
          <w:numId w:val="5"/>
        </w:numPr>
        <w:jc w:val="both"/>
        <w:rPr>
          <w:rFonts w:ascii="Garamond" w:hAnsi="Garamond"/>
        </w:rPr>
      </w:pPr>
      <w:r>
        <w:rPr>
          <w:rFonts w:ascii="Garamond" w:hAnsi="Garamond"/>
        </w:rPr>
        <w:t>a</w:t>
      </w:r>
      <w:r w:rsidR="00446F1D">
        <w:rPr>
          <w:rFonts w:ascii="Garamond" w:hAnsi="Garamond"/>
        </w:rPr>
        <w:t>dottare</w:t>
      </w:r>
      <w:r w:rsidR="00964B5B">
        <w:rPr>
          <w:rFonts w:ascii="Garamond" w:hAnsi="Garamond"/>
        </w:rPr>
        <w:t>, modificare, aggiornare</w:t>
      </w:r>
      <w:r w:rsidR="00646665">
        <w:rPr>
          <w:rFonts w:ascii="Garamond" w:hAnsi="Garamond"/>
        </w:rPr>
        <w:t>,</w:t>
      </w:r>
      <w:r w:rsidR="00964B5B">
        <w:rPr>
          <w:rFonts w:ascii="Garamond" w:hAnsi="Garamond"/>
        </w:rPr>
        <w:t xml:space="preserve"> integrare</w:t>
      </w:r>
      <w:r w:rsidR="009058DB">
        <w:rPr>
          <w:rFonts w:ascii="Garamond" w:hAnsi="Garamond"/>
        </w:rPr>
        <w:t>,</w:t>
      </w:r>
      <w:r w:rsidR="00446F1D">
        <w:rPr>
          <w:rFonts w:ascii="Garamond" w:hAnsi="Garamond"/>
        </w:rPr>
        <w:t xml:space="preserve"> nel rispetto </w:t>
      </w:r>
      <w:r w:rsidR="008F7623">
        <w:rPr>
          <w:rFonts w:ascii="Garamond" w:hAnsi="Garamond"/>
        </w:rPr>
        <w:t xml:space="preserve">di quanto previsto dalle </w:t>
      </w:r>
      <w:r w:rsidR="00446F1D" w:rsidRPr="00A014DA">
        <w:rPr>
          <w:rFonts w:ascii="Garamond" w:hAnsi="Garamond"/>
        </w:rPr>
        <w:t xml:space="preserve">Linee guida relative al Sistema Duale adottate con Decreto n. 139 del 2 agosto 2022, </w:t>
      </w:r>
      <w:r w:rsidR="00964B5B">
        <w:rPr>
          <w:rFonts w:ascii="Garamond" w:hAnsi="Garamond"/>
        </w:rPr>
        <w:t>e successive modifiche e integrazioni</w:t>
      </w:r>
      <w:r w:rsidR="009058DB">
        <w:rPr>
          <w:rFonts w:ascii="Garamond" w:hAnsi="Garamond"/>
        </w:rPr>
        <w:t>,</w:t>
      </w:r>
      <w:r w:rsidR="00F1065E">
        <w:rPr>
          <w:rFonts w:ascii="Garamond" w:hAnsi="Garamond"/>
        </w:rPr>
        <w:t xml:space="preserve"> </w:t>
      </w:r>
      <w:r w:rsidR="00A11899">
        <w:rPr>
          <w:rFonts w:ascii="Garamond" w:hAnsi="Garamond"/>
        </w:rPr>
        <w:t xml:space="preserve">il </w:t>
      </w:r>
      <w:r w:rsidR="008F7623">
        <w:rPr>
          <w:rFonts w:ascii="Garamond" w:hAnsi="Garamond"/>
        </w:rPr>
        <w:t>“</w:t>
      </w:r>
      <w:r w:rsidR="00A11899" w:rsidRPr="00A11899">
        <w:rPr>
          <w:rFonts w:ascii="Garamond" w:hAnsi="Garamond"/>
        </w:rPr>
        <w:t>Documento di programmazione regionale dell’offerta formativa finanziata a valere sul PNRR</w:t>
      </w:r>
      <w:r w:rsidR="00A11899">
        <w:rPr>
          <w:rFonts w:ascii="Garamond" w:hAnsi="Garamond"/>
        </w:rPr>
        <w:t xml:space="preserve">, </w:t>
      </w:r>
      <w:r w:rsidR="00A11899" w:rsidRPr="00A11899">
        <w:rPr>
          <w:rFonts w:ascii="Garamond" w:hAnsi="Garamond"/>
        </w:rPr>
        <w:t>finalizzato alla regolamentazione delle attività previste dal Piano Nazionale di Ripresa e Resilienza (PNRR) per la Missione 5 - Componente 1 - Investimento 1.4 “Sistema duale”</w:t>
      </w:r>
      <w:r w:rsidR="00525AD1">
        <w:rPr>
          <w:rFonts w:ascii="Garamond" w:hAnsi="Garamond"/>
        </w:rPr>
        <w:t>;</w:t>
      </w:r>
    </w:p>
    <w:p w14:paraId="6C238287" w14:textId="5EDD622C" w:rsidR="00AD7E0C" w:rsidRDefault="00AD7E0C" w:rsidP="00AC297C">
      <w:pPr>
        <w:pStyle w:val="Paragrafoelenco"/>
        <w:numPr>
          <w:ilvl w:val="0"/>
          <w:numId w:val="5"/>
        </w:numPr>
        <w:jc w:val="both"/>
        <w:rPr>
          <w:rFonts w:ascii="Garamond" w:hAnsi="Garamond"/>
        </w:rPr>
      </w:pPr>
      <w:r>
        <w:rPr>
          <w:rFonts w:ascii="Garamond" w:hAnsi="Garamond"/>
        </w:rPr>
        <w:t xml:space="preserve">implementare </w:t>
      </w:r>
      <w:r w:rsidR="005874FD">
        <w:rPr>
          <w:rFonts w:ascii="Garamond" w:hAnsi="Garamond"/>
        </w:rPr>
        <w:t xml:space="preserve">quanto previsto nel </w:t>
      </w:r>
      <w:r w:rsidR="008F7623">
        <w:rPr>
          <w:rFonts w:ascii="Garamond" w:hAnsi="Garamond"/>
        </w:rPr>
        <w:t>“</w:t>
      </w:r>
      <w:r w:rsidRPr="00A11899">
        <w:rPr>
          <w:rFonts w:ascii="Garamond" w:hAnsi="Garamond"/>
        </w:rPr>
        <w:t>Documento di programmazione regionale dell’offerta formativa</w:t>
      </w:r>
      <w:r>
        <w:rPr>
          <w:rFonts w:ascii="Garamond" w:hAnsi="Garamond"/>
        </w:rPr>
        <w:t xml:space="preserve"> </w:t>
      </w:r>
      <w:r w:rsidR="008F7623">
        <w:rPr>
          <w:rFonts w:ascii="Garamond" w:hAnsi="Garamond"/>
        </w:rPr>
        <w:t>finanziata a valere sul PNRR”</w:t>
      </w:r>
      <w:r w:rsidR="00C654A7">
        <w:rPr>
          <w:rFonts w:ascii="Garamond" w:hAnsi="Garamond"/>
        </w:rPr>
        <w:t xml:space="preserve"> </w:t>
      </w:r>
      <w:r>
        <w:rPr>
          <w:rFonts w:ascii="Garamond" w:hAnsi="Garamond"/>
        </w:rPr>
        <w:t>e</w:t>
      </w:r>
      <w:r w:rsidR="00D15D79">
        <w:rPr>
          <w:rFonts w:ascii="Garamond" w:hAnsi="Garamond"/>
        </w:rPr>
        <w:t xml:space="preserve"> </w:t>
      </w:r>
      <w:r w:rsidR="008F7623">
        <w:rPr>
          <w:rFonts w:ascii="Garamond" w:hAnsi="Garamond"/>
        </w:rPr>
        <w:t xml:space="preserve">garantire la </w:t>
      </w:r>
      <w:r>
        <w:rPr>
          <w:rFonts w:ascii="Garamond" w:hAnsi="Garamond"/>
        </w:rPr>
        <w:t>realizzazione operativa dei progetti e dei connessi adempimenti di monitoraggio, rendicontazione e controllo;</w:t>
      </w:r>
    </w:p>
    <w:p w14:paraId="2953715A" w14:textId="6E0C24B2" w:rsidR="00AD7E0C" w:rsidRDefault="00AD7E0C" w:rsidP="00AC297C">
      <w:pPr>
        <w:pStyle w:val="Paragrafoelenco"/>
        <w:numPr>
          <w:ilvl w:val="0"/>
          <w:numId w:val="5"/>
        </w:numPr>
        <w:jc w:val="both"/>
        <w:rPr>
          <w:rFonts w:ascii="Garamond" w:hAnsi="Garamond"/>
        </w:rPr>
      </w:pPr>
      <w:r>
        <w:rPr>
          <w:rFonts w:ascii="Garamond" w:hAnsi="Garamond"/>
        </w:rPr>
        <w:t>assume</w:t>
      </w:r>
      <w:r w:rsidR="00525AD1">
        <w:rPr>
          <w:rFonts w:ascii="Garamond" w:hAnsi="Garamond"/>
        </w:rPr>
        <w:t>re</w:t>
      </w:r>
      <w:r w:rsidR="008F7623">
        <w:rPr>
          <w:rFonts w:ascii="Garamond" w:hAnsi="Garamond"/>
        </w:rPr>
        <w:t>,</w:t>
      </w:r>
      <w:r>
        <w:rPr>
          <w:rFonts w:ascii="Garamond" w:hAnsi="Garamond"/>
        </w:rPr>
        <w:t xml:space="preserve"> nella fase di attuazione del progetto di propria responsabilità</w:t>
      </w:r>
      <w:r w:rsidR="008F7623">
        <w:rPr>
          <w:rFonts w:ascii="Garamond" w:hAnsi="Garamond"/>
        </w:rPr>
        <w:t>,</w:t>
      </w:r>
      <w:r>
        <w:rPr>
          <w:rFonts w:ascii="Garamond" w:hAnsi="Garamond"/>
        </w:rPr>
        <w:t xml:space="preserve"> obblighi specifici </w:t>
      </w:r>
      <w:r w:rsidR="003D4C10">
        <w:rPr>
          <w:rFonts w:ascii="Garamond" w:hAnsi="Garamond"/>
        </w:rPr>
        <w:t>i</w:t>
      </w:r>
      <w:r>
        <w:rPr>
          <w:rFonts w:ascii="Garamond" w:hAnsi="Garamond"/>
        </w:rPr>
        <w:t>n tema di controllo, per i quali potrà avvalersi</w:t>
      </w:r>
      <w:r w:rsidR="009B6E34">
        <w:rPr>
          <w:rFonts w:ascii="Garamond" w:hAnsi="Garamond"/>
        </w:rPr>
        <w:t>,</w:t>
      </w:r>
      <w:r>
        <w:rPr>
          <w:rFonts w:ascii="Garamond" w:hAnsi="Garamond"/>
        </w:rPr>
        <w:t xml:space="preserve"> ove compatibili, anche delle procedure in uso nei vigenti SiGeCo dei fondi strutturali:</w:t>
      </w:r>
    </w:p>
    <w:p w14:paraId="01304A5D" w14:textId="77777777" w:rsidR="00AD7E0C" w:rsidRDefault="00AD7E0C" w:rsidP="00AC297C">
      <w:pPr>
        <w:pStyle w:val="Paragrafoelenco"/>
        <w:numPr>
          <w:ilvl w:val="1"/>
          <w:numId w:val="5"/>
        </w:numPr>
        <w:jc w:val="both"/>
        <w:rPr>
          <w:rFonts w:ascii="Garamond" w:hAnsi="Garamond"/>
        </w:rPr>
      </w:pPr>
      <w:r>
        <w:rPr>
          <w:rFonts w:ascii="Garamond" w:hAnsi="Garamond"/>
        </w:rPr>
        <w:t>di regolarità amministrativo contabile delle spese esposte a rendicontazione;</w:t>
      </w:r>
    </w:p>
    <w:p w14:paraId="34A17BE5" w14:textId="62E8C463" w:rsidR="00AD7E0C" w:rsidRDefault="00AD7E0C" w:rsidP="00AC297C">
      <w:pPr>
        <w:pStyle w:val="Paragrafoelenco"/>
        <w:numPr>
          <w:ilvl w:val="1"/>
          <w:numId w:val="5"/>
        </w:numPr>
        <w:jc w:val="both"/>
        <w:rPr>
          <w:rFonts w:ascii="Garamond" w:hAnsi="Garamond"/>
        </w:rPr>
      </w:pPr>
      <w:r>
        <w:rPr>
          <w:rFonts w:ascii="Garamond" w:hAnsi="Garamond"/>
        </w:rPr>
        <w:t>del rispetto del Cronoprogramma di Misura, delle condizionalità e di tutti gli ulteriori requisiti connessi alla Misure (investimenti/riforme) PNRR, in particolare del contributo che i progetti devono assicurare per il conseguimento del</w:t>
      </w:r>
      <w:r w:rsidR="004E3D35">
        <w:rPr>
          <w:rFonts w:ascii="Garamond" w:hAnsi="Garamond"/>
        </w:rPr>
        <w:t xml:space="preserve">l’Obiettivo PNRR </w:t>
      </w:r>
      <w:r>
        <w:rPr>
          <w:rFonts w:ascii="Garamond" w:hAnsi="Garamond"/>
        </w:rPr>
        <w:t>associato alla misura di riferimento, del contributo all’indicatore comune e ai principi trasversali PNRR;</w:t>
      </w:r>
    </w:p>
    <w:p w14:paraId="321ADD2E" w14:textId="4F8D11C8" w:rsidR="00AD7E0C" w:rsidRPr="00C922B7" w:rsidRDefault="008F7623" w:rsidP="00AC297C">
      <w:pPr>
        <w:pStyle w:val="Paragrafoelenco"/>
        <w:numPr>
          <w:ilvl w:val="1"/>
          <w:numId w:val="5"/>
        </w:numPr>
        <w:jc w:val="both"/>
        <w:rPr>
          <w:rFonts w:ascii="Garamond" w:hAnsi="Garamond"/>
        </w:rPr>
      </w:pPr>
      <w:r>
        <w:rPr>
          <w:rFonts w:ascii="Garamond" w:hAnsi="Garamond"/>
        </w:rPr>
        <w:t>del</w:t>
      </w:r>
      <w:r w:rsidR="00AD7E0C">
        <w:rPr>
          <w:rFonts w:ascii="Garamond" w:hAnsi="Garamond"/>
        </w:rPr>
        <w:t>l’adozione di misure di prevenzione e contrasto di irregolarità gravi quali frode, conflitto di interessi, doppio finanziamento nonché verifiche dei dati previsti dalla normativa antiriciclaggio (“titolare effettivo”)</w:t>
      </w:r>
      <w:r w:rsidR="00AD7E0C" w:rsidRPr="00C922B7">
        <w:rPr>
          <w:rFonts w:ascii="Garamond" w:hAnsi="Garamond"/>
        </w:rPr>
        <w:t>, rif. “</w:t>
      </w:r>
      <w:r w:rsidR="00AD7E0C" w:rsidRPr="00C922B7">
        <w:rPr>
          <w:rFonts w:ascii="Garamond" w:hAnsi="Garamond"/>
          <w:i/>
          <w:iCs/>
        </w:rPr>
        <w:t>Quadro sinottico delle attività di verifica e di controllo del soggetto attuatore</w:t>
      </w:r>
      <w:r w:rsidR="00AD7E0C" w:rsidRPr="00C922B7">
        <w:rPr>
          <w:rFonts w:ascii="Garamond" w:hAnsi="Garamond"/>
        </w:rPr>
        <w:t>”</w:t>
      </w:r>
      <w:r w:rsidR="002E7A18">
        <w:rPr>
          <w:rFonts w:ascii="Garamond" w:hAnsi="Garamond"/>
        </w:rPr>
        <w:t xml:space="preserve"> </w:t>
      </w:r>
      <w:r w:rsidR="007D0DF7">
        <w:rPr>
          <w:rFonts w:ascii="Garamond" w:hAnsi="Garamond"/>
        </w:rPr>
        <w:t xml:space="preserve">- </w:t>
      </w:r>
      <w:r w:rsidR="00AD7E0C" w:rsidRPr="00C922B7">
        <w:rPr>
          <w:rFonts w:ascii="Garamond" w:hAnsi="Garamond"/>
        </w:rPr>
        <w:t>pagina 26</w:t>
      </w:r>
      <w:r w:rsidR="009D4A03">
        <w:rPr>
          <w:rFonts w:ascii="Garamond" w:hAnsi="Garamond"/>
        </w:rPr>
        <w:t>,</w:t>
      </w:r>
      <w:r w:rsidR="00AD7E0C" w:rsidRPr="00C922B7">
        <w:rPr>
          <w:rFonts w:ascii="Garamond" w:hAnsi="Garamond"/>
        </w:rPr>
        <w:t xml:space="preserve"> Circolare RGS n</w:t>
      </w:r>
      <w:r w:rsidR="009D4A03">
        <w:rPr>
          <w:rFonts w:ascii="Garamond" w:hAnsi="Garamond"/>
        </w:rPr>
        <w:t>.</w:t>
      </w:r>
      <w:r w:rsidR="00AD7E0C" w:rsidRPr="00C922B7">
        <w:rPr>
          <w:rFonts w:ascii="Garamond" w:hAnsi="Garamond"/>
        </w:rPr>
        <w:t xml:space="preserve"> </w:t>
      </w:r>
      <w:r w:rsidR="00262E4A">
        <w:rPr>
          <w:rFonts w:ascii="Garamond" w:hAnsi="Garamond"/>
        </w:rPr>
        <w:t>30</w:t>
      </w:r>
      <w:r w:rsidR="00AD7E0C" w:rsidRPr="00C922B7">
        <w:rPr>
          <w:rFonts w:ascii="Garamond" w:hAnsi="Garamond"/>
        </w:rPr>
        <w:t xml:space="preserve"> del</w:t>
      </w:r>
      <w:r w:rsidR="00262E4A">
        <w:rPr>
          <w:rFonts w:ascii="Garamond" w:hAnsi="Garamond"/>
        </w:rPr>
        <w:t>l’</w:t>
      </w:r>
      <w:r w:rsidR="00AD7E0C" w:rsidRPr="00C922B7">
        <w:rPr>
          <w:rFonts w:ascii="Garamond" w:hAnsi="Garamond"/>
        </w:rPr>
        <w:t xml:space="preserve"> 11 agosto 2022 recante indicazioni sulle procedure di controllo e rendicontazione delle misure PNRR;</w:t>
      </w:r>
    </w:p>
    <w:p w14:paraId="4BA3FCA6" w14:textId="1ED340B1" w:rsidR="00AD7E0C" w:rsidRDefault="00AD7E0C" w:rsidP="00AC297C">
      <w:pPr>
        <w:pStyle w:val="Paragrafoelenco"/>
        <w:numPr>
          <w:ilvl w:val="0"/>
          <w:numId w:val="5"/>
        </w:numPr>
        <w:jc w:val="both"/>
        <w:rPr>
          <w:rFonts w:ascii="Garamond" w:hAnsi="Garamond"/>
        </w:rPr>
      </w:pPr>
      <w:r>
        <w:rPr>
          <w:rFonts w:ascii="Garamond" w:hAnsi="Garamond"/>
        </w:rPr>
        <w:t>assume</w:t>
      </w:r>
      <w:r w:rsidR="002E7A18">
        <w:rPr>
          <w:rFonts w:ascii="Garamond" w:hAnsi="Garamond"/>
        </w:rPr>
        <w:t>re</w:t>
      </w:r>
      <w:r w:rsidR="008F7623">
        <w:rPr>
          <w:rFonts w:ascii="Garamond" w:hAnsi="Garamond"/>
        </w:rPr>
        <w:t>,</w:t>
      </w:r>
      <w:r>
        <w:rPr>
          <w:rFonts w:ascii="Garamond" w:hAnsi="Garamond"/>
        </w:rPr>
        <w:t xml:space="preserve"> nella fase di attuazione del progetto di propria responsabilità</w:t>
      </w:r>
      <w:r w:rsidR="008F7623">
        <w:rPr>
          <w:rFonts w:ascii="Garamond" w:hAnsi="Garamond"/>
        </w:rPr>
        <w:t>,</w:t>
      </w:r>
      <w:r>
        <w:rPr>
          <w:rFonts w:ascii="Garamond" w:hAnsi="Garamond"/>
        </w:rPr>
        <w:t xml:space="preserve"> obblighi specifici </w:t>
      </w:r>
      <w:r w:rsidR="005A0F2C">
        <w:rPr>
          <w:rFonts w:ascii="Garamond" w:hAnsi="Garamond"/>
        </w:rPr>
        <w:t>i</w:t>
      </w:r>
      <w:r>
        <w:rPr>
          <w:rFonts w:ascii="Garamond" w:hAnsi="Garamond"/>
        </w:rPr>
        <w:t>n tema di rendicontazione per i quali potrà avvalersi ove compatibili, anche delle procedure in uso nei vigenti SiGeCo dei fondi strutturali. Nello specifico</w:t>
      </w:r>
      <w:r w:rsidR="00A26FFA">
        <w:rPr>
          <w:rFonts w:ascii="Garamond" w:hAnsi="Garamond"/>
        </w:rPr>
        <w:t>,</w:t>
      </w:r>
      <w:r>
        <w:rPr>
          <w:rFonts w:ascii="Garamond" w:hAnsi="Garamond"/>
        </w:rPr>
        <w:t xml:space="preserve"> il </w:t>
      </w:r>
      <w:r w:rsidR="000D13A8">
        <w:rPr>
          <w:rFonts w:ascii="Garamond" w:hAnsi="Garamond"/>
        </w:rPr>
        <w:t>S</w:t>
      </w:r>
      <w:r>
        <w:rPr>
          <w:rFonts w:ascii="Garamond" w:hAnsi="Garamond"/>
        </w:rPr>
        <w:t xml:space="preserve">oggetto </w:t>
      </w:r>
      <w:r w:rsidR="000D13A8">
        <w:rPr>
          <w:rFonts w:ascii="Garamond" w:hAnsi="Garamond"/>
        </w:rPr>
        <w:t>A</w:t>
      </w:r>
      <w:r>
        <w:rPr>
          <w:rFonts w:ascii="Garamond" w:hAnsi="Garamond"/>
        </w:rPr>
        <w:t xml:space="preserve">ttuatore si impegna a: </w:t>
      </w:r>
    </w:p>
    <w:p w14:paraId="6D2040B5" w14:textId="5CA331D5" w:rsidR="00AD7E0C" w:rsidRDefault="00AD7E0C" w:rsidP="00C36DB7">
      <w:pPr>
        <w:pStyle w:val="Paragrafoelenco"/>
        <w:numPr>
          <w:ilvl w:val="1"/>
          <w:numId w:val="5"/>
        </w:numPr>
        <w:jc w:val="both"/>
        <w:rPr>
          <w:rFonts w:ascii="Garamond" w:hAnsi="Garamond"/>
        </w:rPr>
      </w:pPr>
      <w:r>
        <w:rPr>
          <w:rFonts w:ascii="Garamond" w:hAnsi="Garamond"/>
        </w:rPr>
        <w:t xml:space="preserve">rendicontare </w:t>
      </w:r>
      <w:r w:rsidRPr="005A1F92">
        <w:rPr>
          <w:rFonts w:ascii="Garamond" w:hAnsi="Garamond"/>
        </w:rPr>
        <w:t>le spese sostenute ovvero</w:t>
      </w:r>
      <w:r w:rsidR="004D6AA5">
        <w:rPr>
          <w:rFonts w:ascii="Garamond" w:hAnsi="Garamond"/>
        </w:rPr>
        <w:t xml:space="preserve"> i</w:t>
      </w:r>
      <w:r w:rsidRPr="005A1F92">
        <w:rPr>
          <w:rFonts w:ascii="Garamond" w:hAnsi="Garamond"/>
        </w:rPr>
        <w:t xml:space="preserve"> costi maturati in caso di utilizzo di opzioni semplificate dei costi</w:t>
      </w:r>
      <w:r w:rsidR="00BA72C9">
        <w:rPr>
          <w:rFonts w:ascii="Garamond" w:hAnsi="Garamond"/>
        </w:rPr>
        <w:t>,</w:t>
      </w:r>
      <w:r>
        <w:rPr>
          <w:rFonts w:ascii="Garamond" w:hAnsi="Garamond"/>
        </w:rPr>
        <w:t xml:space="preserve"> attraverso idonee domande di rimborso secondo le tempistiche stabilite dal successivo </w:t>
      </w:r>
      <w:r w:rsidRPr="00093A12">
        <w:rPr>
          <w:rFonts w:ascii="Garamond" w:hAnsi="Garamond"/>
        </w:rPr>
        <w:t xml:space="preserve">art. </w:t>
      </w:r>
      <w:r>
        <w:rPr>
          <w:rFonts w:ascii="Garamond" w:hAnsi="Garamond"/>
        </w:rPr>
        <w:t>7, con esposizione separata dell’importo IVA relativo o rispettivamente stimato nel caso di opzione semplificate di costi;</w:t>
      </w:r>
    </w:p>
    <w:p w14:paraId="095F6488" w14:textId="77777777" w:rsidR="00AD7E0C" w:rsidRDefault="00AD7E0C" w:rsidP="008F7623">
      <w:pPr>
        <w:pStyle w:val="Paragrafoelenco"/>
        <w:numPr>
          <w:ilvl w:val="1"/>
          <w:numId w:val="5"/>
        </w:numPr>
        <w:jc w:val="both"/>
        <w:rPr>
          <w:rFonts w:ascii="Garamond" w:hAnsi="Garamond"/>
        </w:rPr>
      </w:pPr>
      <w:r>
        <w:rPr>
          <w:rFonts w:ascii="Garamond" w:hAnsi="Garamond"/>
        </w:rPr>
        <w:t>attestare il corretto svolgimento dei controlli di regolarità amministrativo contabile;</w:t>
      </w:r>
    </w:p>
    <w:p w14:paraId="2BA063CA" w14:textId="296581DF" w:rsidR="00AD7E0C" w:rsidRDefault="00AD7E0C" w:rsidP="008F7623">
      <w:pPr>
        <w:pStyle w:val="Paragrafoelenco"/>
        <w:numPr>
          <w:ilvl w:val="1"/>
          <w:numId w:val="5"/>
        </w:numPr>
        <w:jc w:val="both"/>
        <w:rPr>
          <w:rFonts w:ascii="Garamond" w:hAnsi="Garamond"/>
        </w:rPr>
      </w:pPr>
      <w:r>
        <w:rPr>
          <w:rFonts w:ascii="Garamond" w:hAnsi="Garamond"/>
        </w:rPr>
        <w:t>attestare il rispetto delle condizionalità e degli ulteriori requisiti connessi alla misura,</w:t>
      </w:r>
      <w:r w:rsidR="009B1167">
        <w:rPr>
          <w:rFonts w:ascii="Garamond" w:hAnsi="Garamond"/>
        </w:rPr>
        <w:t xml:space="preserve"> nonch</w:t>
      </w:r>
      <w:r w:rsidR="008F7623">
        <w:rPr>
          <w:rFonts w:ascii="Garamond" w:hAnsi="Garamond"/>
        </w:rPr>
        <w:t>é</w:t>
      </w:r>
      <w:r>
        <w:rPr>
          <w:rFonts w:ascii="Garamond" w:hAnsi="Garamond"/>
        </w:rPr>
        <w:t xml:space="preserve"> dei principi trasversali;</w:t>
      </w:r>
    </w:p>
    <w:p w14:paraId="43210091" w14:textId="77777777" w:rsidR="00AD7E0C" w:rsidRDefault="00AD7E0C" w:rsidP="005874FD">
      <w:pPr>
        <w:pStyle w:val="Paragrafoelenco"/>
        <w:numPr>
          <w:ilvl w:val="1"/>
          <w:numId w:val="5"/>
        </w:numPr>
        <w:jc w:val="both"/>
        <w:rPr>
          <w:rFonts w:ascii="Garamond" w:hAnsi="Garamond"/>
        </w:rPr>
      </w:pPr>
      <w:r>
        <w:rPr>
          <w:rFonts w:ascii="Garamond" w:hAnsi="Garamond"/>
        </w:rPr>
        <w:t>attestare l’assenza del doppio finanziamento sulle spese esposte a rendiconto;</w:t>
      </w:r>
    </w:p>
    <w:p w14:paraId="641F9FC1" w14:textId="0596C151" w:rsidR="00AD7E0C" w:rsidRDefault="00AD7E0C">
      <w:pPr>
        <w:pStyle w:val="Paragrafoelenco"/>
        <w:numPr>
          <w:ilvl w:val="1"/>
          <w:numId w:val="5"/>
        </w:numPr>
        <w:jc w:val="both"/>
        <w:rPr>
          <w:rFonts w:ascii="Garamond" w:hAnsi="Garamond"/>
        </w:rPr>
      </w:pPr>
      <w:r>
        <w:rPr>
          <w:rFonts w:ascii="Garamond" w:hAnsi="Garamond"/>
        </w:rPr>
        <w:t xml:space="preserve">laddove l’oggetto della spesa esposta a rendicontazione risulti – in base al meccanismo di verifica indicato </w:t>
      </w:r>
      <w:r w:rsidR="004E3D35">
        <w:rPr>
          <w:rFonts w:ascii="Garamond" w:hAnsi="Garamond"/>
        </w:rPr>
        <w:t>per l’Obiettivo generale PNRR definito negli</w:t>
      </w:r>
      <w:r>
        <w:rPr>
          <w:rFonts w:ascii="Garamond" w:hAnsi="Garamond"/>
        </w:rPr>
        <w:t xml:space="preserve"> </w:t>
      </w:r>
      <w:r w:rsidRPr="00E8765B">
        <w:rPr>
          <w:rFonts w:ascii="Garamond" w:hAnsi="Garamond"/>
          <w:i/>
          <w:iCs/>
        </w:rPr>
        <w:t>Operational Arrangements</w:t>
      </w:r>
      <w:r>
        <w:rPr>
          <w:rFonts w:ascii="Garamond" w:hAnsi="Garamond"/>
        </w:rPr>
        <w:t xml:space="preserve"> – direttamente collegato/collegabile alla maturazione </w:t>
      </w:r>
      <w:r w:rsidR="004E3D35">
        <w:rPr>
          <w:rFonts w:ascii="Garamond" w:hAnsi="Garamond"/>
        </w:rPr>
        <w:t>dell’Obiettivo generale PNRR</w:t>
      </w:r>
      <w:r w:rsidR="002E7A18">
        <w:rPr>
          <w:rFonts w:ascii="Garamond" w:hAnsi="Garamond"/>
        </w:rPr>
        <w:t>,</w:t>
      </w:r>
      <w:r>
        <w:rPr>
          <w:rFonts w:ascii="Garamond" w:hAnsi="Garamond"/>
        </w:rPr>
        <w:t xml:space="preserve"> caricare anche la documentazione probatoria del soddisfacente conseguimento dell’obiettivo relativamente alla fase cui la spesa è riferita (es. completamento di un modulo formativo);</w:t>
      </w:r>
    </w:p>
    <w:p w14:paraId="2C408A3A" w14:textId="77777777" w:rsidR="00AD7E0C" w:rsidRDefault="00AD7E0C">
      <w:pPr>
        <w:pStyle w:val="Paragrafoelenco"/>
        <w:numPr>
          <w:ilvl w:val="0"/>
          <w:numId w:val="5"/>
        </w:numPr>
        <w:jc w:val="both"/>
        <w:rPr>
          <w:rFonts w:ascii="Garamond" w:hAnsi="Garamond"/>
        </w:rPr>
      </w:pPr>
      <w:r>
        <w:rPr>
          <w:rFonts w:ascii="Garamond" w:hAnsi="Garamond"/>
        </w:rPr>
        <w:t>inviare un organigramma, secondo format già in uso, ove compatibili, nei vigenti SiGeCo dei fondi strutturali;</w:t>
      </w:r>
    </w:p>
    <w:p w14:paraId="4303A81D" w14:textId="182FCB9A" w:rsidR="00AD7E0C" w:rsidRDefault="00AD7E0C">
      <w:pPr>
        <w:pStyle w:val="Paragrafoelenco"/>
        <w:numPr>
          <w:ilvl w:val="0"/>
          <w:numId w:val="5"/>
        </w:numPr>
        <w:jc w:val="both"/>
        <w:rPr>
          <w:rFonts w:ascii="Garamond" w:hAnsi="Garamond"/>
        </w:rPr>
      </w:pPr>
      <w:r w:rsidRPr="55765628">
        <w:rPr>
          <w:rFonts w:ascii="Garamond" w:hAnsi="Garamond"/>
        </w:rPr>
        <w:t xml:space="preserve"> assicurare il rispetto di tutte le disposizioni previste dalla normativa comunitaria e nazionale</w:t>
      </w:r>
      <w:r w:rsidR="00907F8D">
        <w:rPr>
          <w:rFonts w:ascii="Garamond" w:hAnsi="Garamond"/>
        </w:rPr>
        <w:t>,</w:t>
      </w:r>
      <w:r>
        <w:rPr>
          <w:rFonts w:ascii="Garamond" w:hAnsi="Garamond"/>
        </w:rPr>
        <w:t xml:space="preserve"> come richiamate in premessa e successive modifiche e integrazioni;</w:t>
      </w:r>
    </w:p>
    <w:p w14:paraId="7E554097" w14:textId="50017EF7" w:rsidR="00AD7E0C" w:rsidRDefault="00AD7E0C">
      <w:pPr>
        <w:pStyle w:val="Paragrafoelenco"/>
        <w:numPr>
          <w:ilvl w:val="0"/>
          <w:numId w:val="5"/>
        </w:numPr>
        <w:jc w:val="both"/>
        <w:rPr>
          <w:rFonts w:ascii="Garamond" w:hAnsi="Garamond"/>
        </w:rPr>
      </w:pPr>
      <w:r w:rsidRPr="55765628">
        <w:rPr>
          <w:rFonts w:ascii="Garamond" w:hAnsi="Garamond"/>
        </w:rPr>
        <w:t>rispettare le indicazioni in relazione ai principi orizzontali di cui all’art. 5 del Reg. (UE) 2021/241</w:t>
      </w:r>
      <w:r w:rsidR="00212595">
        <w:rPr>
          <w:rFonts w:ascii="Garamond" w:hAnsi="Garamond"/>
        </w:rPr>
        <w:t>,</w:t>
      </w:r>
      <w:r w:rsidRPr="55765628">
        <w:rPr>
          <w:rFonts w:ascii="Garamond" w:hAnsi="Garamond"/>
        </w:rPr>
        <w:t xml:space="preserve"> ossia il principio di non arrecare un danno significativo agli obiettivi ambientali, ai sensi dell'articolo 17 del Reg. (UE) 2020/852</w:t>
      </w:r>
      <w:r w:rsidR="00A66719">
        <w:rPr>
          <w:rFonts w:ascii="Garamond" w:hAnsi="Garamond"/>
        </w:rPr>
        <w:t>,</w:t>
      </w:r>
      <w:r w:rsidRPr="55765628">
        <w:rPr>
          <w:rFonts w:ascii="Garamond" w:hAnsi="Garamond"/>
        </w:rPr>
        <w:t xml:space="preserve"> e garantire la coerenza degli interventi con il PNRR approvato dalla Commissione europea; </w:t>
      </w:r>
    </w:p>
    <w:p w14:paraId="279BDBD1" w14:textId="77777777" w:rsidR="00AD7E0C" w:rsidRPr="00F96136" w:rsidRDefault="00AD7E0C">
      <w:pPr>
        <w:pStyle w:val="Paragrafoelenco"/>
        <w:numPr>
          <w:ilvl w:val="0"/>
          <w:numId w:val="5"/>
        </w:numPr>
        <w:jc w:val="both"/>
        <w:rPr>
          <w:rFonts w:ascii="Garamond" w:hAnsi="Garamond"/>
        </w:rPr>
      </w:pPr>
      <w:r w:rsidRPr="00F96136">
        <w:rPr>
          <w:rFonts w:ascii="Garamond" w:hAnsi="Garamond"/>
        </w:rPr>
        <w:t>rispettare i principi trasversali previsti per il PNRR dalla normativa nazionale e comunitaria, con particolare riguardo alla valorizzazione dei giovani</w:t>
      </w:r>
      <w:r>
        <w:rPr>
          <w:rFonts w:ascii="Garamond" w:hAnsi="Garamond"/>
        </w:rPr>
        <w:t>, alla tutela dei diversamente abili</w:t>
      </w:r>
      <w:r w:rsidRPr="00F96136">
        <w:rPr>
          <w:rFonts w:ascii="Garamond" w:hAnsi="Garamond"/>
        </w:rPr>
        <w:t xml:space="preserve">, alla parità di genere e alla riduzione dei divari territoriali; </w:t>
      </w:r>
    </w:p>
    <w:p w14:paraId="214C9740" w14:textId="5066A703" w:rsidR="00AD7E0C" w:rsidRPr="00F96136" w:rsidRDefault="00AD7E0C">
      <w:pPr>
        <w:pStyle w:val="Paragrafoelenco"/>
        <w:numPr>
          <w:ilvl w:val="0"/>
          <w:numId w:val="5"/>
        </w:numPr>
        <w:jc w:val="both"/>
        <w:rPr>
          <w:rFonts w:ascii="Garamond" w:hAnsi="Garamond"/>
        </w:rPr>
      </w:pPr>
      <w:r w:rsidRPr="779896F3">
        <w:rPr>
          <w:rFonts w:ascii="Garamond" w:hAnsi="Garamond"/>
        </w:rPr>
        <w:t>adottare procedure di selezione conformi alla normativa comunitaria e nazionale applicabile</w:t>
      </w:r>
      <w:r w:rsidR="008B0B82">
        <w:rPr>
          <w:rFonts w:ascii="Garamond" w:hAnsi="Garamond"/>
        </w:rPr>
        <w:t>, e</w:t>
      </w:r>
      <w:r w:rsidRPr="779896F3">
        <w:rPr>
          <w:rFonts w:ascii="Garamond" w:hAnsi="Garamond"/>
        </w:rPr>
        <w:t xml:space="preserve"> sottoporle in anticipo all’Amministrazione centrale </w:t>
      </w:r>
      <w:r w:rsidR="00A74BF3">
        <w:rPr>
          <w:rFonts w:ascii="Garamond" w:hAnsi="Garamond"/>
        </w:rPr>
        <w:t xml:space="preserve">titolare di interventi </w:t>
      </w:r>
      <w:r w:rsidRPr="779896F3">
        <w:rPr>
          <w:rFonts w:ascii="Garamond" w:hAnsi="Garamond"/>
        </w:rPr>
        <w:t>PNRR per le verifiche di competenza;</w:t>
      </w:r>
    </w:p>
    <w:p w14:paraId="1253402E" w14:textId="77777777" w:rsidR="00AD7E0C" w:rsidRPr="00601D21" w:rsidRDefault="00AD7E0C">
      <w:pPr>
        <w:pStyle w:val="Paragrafoelenco"/>
        <w:numPr>
          <w:ilvl w:val="0"/>
          <w:numId w:val="5"/>
        </w:numPr>
        <w:jc w:val="both"/>
        <w:rPr>
          <w:rFonts w:ascii="Garamond" w:hAnsi="Garamond"/>
        </w:rPr>
      </w:pPr>
      <w:r>
        <w:rPr>
          <w:rFonts w:ascii="Garamond" w:hAnsi="Garamond"/>
        </w:rPr>
        <w:t xml:space="preserve">assicurare </w:t>
      </w:r>
      <w:r w:rsidRPr="00601D21">
        <w:rPr>
          <w:rFonts w:ascii="Garamond" w:hAnsi="Garamond"/>
        </w:rPr>
        <w:t>l’individuazione di criteri di selezione</w:t>
      </w:r>
      <w:r>
        <w:rPr>
          <w:rFonts w:ascii="Garamond" w:hAnsi="Garamond"/>
        </w:rPr>
        <w:t xml:space="preserve"> coerenti con le regole e obiettivi del PNRR e con i principi trasversali</w:t>
      </w:r>
      <w:r w:rsidRPr="00601D21">
        <w:rPr>
          <w:rFonts w:ascii="Garamond" w:hAnsi="Garamond"/>
        </w:rPr>
        <w:t>;</w:t>
      </w:r>
    </w:p>
    <w:p w14:paraId="1ED1D498" w14:textId="0D221022" w:rsidR="00AD7E0C" w:rsidRPr="00601D21" w:rsidRDefault="00AD7E0C">
      <w:pPr>
        <w:pStyle w:val="Paragrafoelenco"/>
        <w:numPr>
          <w:ilvl w:val="0"/>
          <w:numId w:val="5"/>
        </w:numPr>
        <w:jc w:val="both"/>
        <w:rPr>
          <w:rFonts w:ascii="Garamond" w:hAnsi="Garamond"/>
        </w:rPr>
      </w:pPr>
      <w:r w:rsidRPr="00601D21">
        <w:rPr>
          <w:rFonts w:ascii="Garamond" w:hAnsi="Garamond"/>
        </w:rPr>
        <w:t>implementa</w:t>
      </w:r>
      <w:r>
        <w:rPr>
          <w:rFonts w:ascii="Garamond" w:hAnsi="Garamond"/>
        </w:rPr>
        <w:t>r</w:t>
      </w:r>
      <w:r w:rsidRPr="00601D21">
        <w:rPr>
          <w:rFonts w:ascii="Garamond" w:hAnsi="Garamond"/>
        </w:rPr>
        <w:t>e gli interventi</w:t>
      </w:r>
      <w:r>
        <w:rPr>
          <w:rFonts w:ascii="Garamond" w:hAnsi="Garamond"/>
        </w:rPr>
        <w:t xml:space="preserve"> al fine di assicurare il conseguimento </w:t>
      </w:r>
      <w:r w:rsidR="00885FE2">
        <w:rPr>
          <w:rFonts w:ascii="Garamond" w:hAnsi="Garamond"/>
        </w:rPr>
        <w:t>dell’Obiettivo generale PNRR</w:t>
      </w:r>
      <w:r w:rsidR="00C654A7">
        <w:rPr>
          <w:rFonts w:ascii="Garamond" w:hAnsi="Garamond"/>
        </w:rPr>
        <w:t xml:space="preserve"> </w:t>
      </w:r>
      <w:r>
        <w:rPr>
          <w:rFonts w:ascii="Garamond" w:hAnsi="Garamond"/>
        </w:rPr>
        <w:t xml:space="preserve">e il rispetto dei meccanismi di verifica stabiliti dagli </w:t>
      </w:r>
      <w:r w:rsidRPr="0067750B">
        <w:rPr>
          <w:rFonts w:ascii="Garamond" w:hAnsi="Garamond"/>
          <w:i/>
          <w:iCs/>
        </w:rPr>
        <w:t>Operational Arrangements</w:t>
      </w:r>
      <w:r w:rsidR="003D40DC">
        <w:rPr>
          <w:rFonts w:ascii="Garamond" w:hAnsi="Garamond"/>
          <w:i/>
          <w:iCs/>
        </w:rPr>
        <w:t>,</w:t>
      </w:r>
      <w:r>
        <w:rPr>
          <w:rFonts w:ascii="Garamond" w:hAnsi="Garamond"/>
        </w:rPr>
        <w:t xml:space="preserve"> come richiamati in premessa</w:t>
      </w:r>
      <w:r w:rsidRPr="00601D21">
        <w:rPr>
          <w:rFonts w:ascii="Garamond" w:hAnsi="Garamond"/>
        </w:rPr>
        <w:t>;</w:t>
      </w:r>
    </w:p>
    <w:p w14:paraId="72D58150" w14:textId="25803644" w:rsidR="00AD7E0C" w:rsidRDefault="00AD7E0C">
      <w:pPr>
        <w:pStyle w:val="Paragrafoelenco"/>
        <w:numPr>
          <w:ilvl w:val="0"/>
          <w:numId w:val="5"/>
        </w:numPr>
        <w:jc w:val="both"/>
        <w:rPr>
          <w:rFonts w:eastAsiaTheme="minorEastAsia"/>
        </w:rPr>
      </w:pPr>
      <w:r w:rsidRPr="779896F3">
        <w:rPr>
          <w:rFonts w:ascii="Garamond" w:hAnsi="Garamond"/>
        </w:rPr>
        <w:t xml:space="preserve">adottare proprie procedure interne volte a facilitare il conseguimento </w:t>
      </w:r>
      <w:r w:rsidR="00885FE2">
        <w:rPr>
          <w:rFonts w:ascii="Garamond" w:hAnsi="Garamond"/>
        </w:rPr>
        <w:t>dell’Obiettivo generale PNRR</w:t>
      </w:r>
      <w:r w:rsidR="00C654A7">
        <w:rPr>
          <w:rFonts w:ascii="Garamond" w:hAnsi="Garamond"/>
        </w:rPr>
        <w:t xml:space="preserve"> </w:t>
      </w:r>
      <w:r w:rsidRPr="779896F3">
        <w:rPr>
          <w:rFonts w:ascii="Garamond" w:hAnsi="Garamond"/>
        </w:rPr>
        <w:t xml:space="preserve">e a prevenire le criticità, anche sulla base dell’analisi </w:t>
      </w:r>
      <w:r w:rsidR="001E612E">
        <w:rPr>
          <w:rFonts w:ascii="Garamond" w:hAnsi="Garamond"/>
        </w:rPr>
        <w:t xml:space="preserve">di </w:t>
      </w:r>
      <w:r w:rsidRPr="779896F3">
        <w:rPr>
          <w:rFonts w:ascii="Garamond" w:hAnsi="Garamond"/>
        </w:rPr>
        <w:t xml:space="preserve">interventi analoghi realizzati sul territorio, assicurando la conformità ai regolamenti comunitari e a quanto indicato dall’Amministrazione centrale titolare </w:t>
      </w:r>
      <w:r w:rsidR="00F71470">
        <w:rPr>
          <w:rFonts w:ascii="Garamond" w:hAnsi="Garamond"/>
        </w:rPr>
        <w:t>di interventi PNRR</w:t>
      </w:r>
      <w:r w:rsidRPr="779896F3">
        <w:rPr>
          <w:rFonts w:ascii="Garamond" w:hAnsi="Garamond"/>
        </w:rPr>
        <w:t xml:space="preserve">; </w:t>
      </w:r>
    </w:p>
    <w:p w14:paraId="03CEDFD0" w14:textId="615CF459" w:rsidR="00AD7E0C" w:rsidRPr="00AB0D04" w:rsidRDefault="00AD7E0C">
      <w:pPr>
        <w:pStyle w:val="Paragrafoelenco"/>
        <w:numPr>
          <w:ilvl w:val="0"/>
          <w:numId w:val="5"/>
        </w:numPr>
        <w:jc w:val="both"/>
        <w:rPr>
          <w:rFonts w:ascii="Garamond" w:hAnsi="Garamond"/>
        </w:rPr>
      </w:pPr>
      <w:r w:rsidRPr="779896F3">
        <w:rPr>
          <w:rFonts w:ascii="Garamond" w:hAnsi="Garamond"/>
        </w:rPr>
        <w:t xml:space="preserve">dare piena attuazione </w:t>
      </w:r>
      <w:r w:rsidR="009D7858">
        <w:rPr>
          <w:rFonts w:ascii="Garamond" w:hAnsi="Garamond"/>
        </w:rPr>
        <w:t>agli interventi</w:t>
      </w:r>
      <w:r w:rsidRPr="779896F3">
        <w:rPr>
          <w:rFonts w:ascii="Garamond" w:hAnsi="Garamond"/>
        </w:rPr>
        <w:t xml:space="preserve">, garantendone l’avvio tempestivo e la realizzazione operativa, per non incorrere in ritardi attuativi e concluderlo nella forma, nei modi e nei tempi previsti, al fine di garantire il soddisfacente conseguimento, secondo le scadenze concordate con l’Unione europea, </w:t>
      </w:r>
      <w:r w:rsidR="00885FE2">
        <w:rPr>
          <w:rFonts w:ascii="Garamond" w:hAnsi="Garamond"/>
        </w:rPr>
        <w:t>dell’Obiettivo generale PNRR</w:t>
      </w:r>
      <w:r w:rsidR="00C654A7">
        <w:rPr>
          <w:rFonts w:ascii="Garamond" w:hAnsi="Garamond"/>
        </w:rPr>
        <w:t>;</w:t>
      </w:r>
    </w:p>
    <w:p w14:paraId="326CEAE2" w14:textId="77777777" w:rsidR="00AD7E0C" w:rsidRPr="00AB0D04" w:rsidRDefault="00AD7E0C">
      <w:pPr>
        <w:pStyle w:val="Paragrafoelenco"/>
        <w:numPr>
          <w:ilvl w:val="0"/>
          <w:numId w:val="5"/>
        </w:numPr>
        <w:jc w:val="both"/>
        <w:rPr>
          <w:rFonts w:ascii="Garamond" w:hAnsi="Garamond"/>
        </w:rPr>
      </w:pPr>
      <w:r w:rsidRPr="779896F3">
        <w:rPr>
          <w:rFonts w:ascii="Garamond" w:hAnsi="Garamond"/>
        </w:rPr>
        <w:t>garantire, nel caso in cui si faccia ricorso alle procedure di appalto, il rispetto di quanto previsto dal D. Lgs. 50/2016 e s.m.i.;</w:t>
      </w:r>
    </w:p>
    <w:p w14:paraId="177B9C0C" w14:textId="4616F298" w:rsidR="00AD7E0C" w:rsidRPr="00AB0D04" w:rsidRDefault="00AD7E0C">
      <w:pPr>
        <w:pStyle w:val="Paragrafoelenco"/>
        <w:numPr>
          <w:ilvl w:val="0"/>
          <w:numId w:val="5"/>
        </w:numPr>
        <w:jc w:val="both"/>
        <w:rPr>
          <w:rFonts w:ascii="Garamond" w:hAnsi="Garamond"/>
        </w:rPr>
      </w:pPr>
      <w:r w:rsidRPr="779896F3">
        <w:rPr>
          <w:rFonts w:ascii="Garamond" w:hAnsi="Garamond"/>
        </w:rPr>
        <w:t xml:space="preserve">rispettare, in caso di ricorso diretto ad esperti esterni all’Amministrazione, la conformità alla pertinente disciplina comunitaria e nazionale, nonché alle eventuali specifiche circolari/disciplinari che potranno essere adottati dall’Amministrazione centrale titolare </w:t>
      </w:r>
      <w:r w:rsidR="00F71470">
        <w:rPr>
          <w:rFonts w:ascii="Garamond" w:hAnsi="Garamond"/>
        </w:rPr>
        <w:t>di interventi PNRR</w:t>
      </w:r>
      <w:r w:rsidRPr="779896F3">
        <w:rPr>
          <w:rFonts w:ascii="Garamond" w:hAnsi="Garamond"/>
        </w:rPr>
        <w:t>;</w:t>
      </w:r>
    </w:p>
    <w:p w14:paraId="7C1E37D2" w14:textId="44E58F08" w:rsidR="00AD7E0C" w:rsidRPr="00AB0D04" w:rsidRDefault="00AD7E0C">
      <w:pPr>
        <w:pStyle w:val="Paragrafoelenco"/>
        <w:numPr>
          <w:ilvl w:val="0"/>
          <w:numId w:val="5"/>
        </w:numPr>
        <w:jc w:val="both"/>
        <w:rPr>
          <w:rFonts w:ascii="Garamond" w:hAnsi="Garamond"/>
        </w:rPr>
      </w:pPr>
      <w:r w:rsidRPr="779896F3">
        <w:rPr>
          <w:rFonts w:ascii="Garamond" w:hAnsi="Garamond"/>
        </w:rPr>
        <w:t xml:space="preserve">rispettare, nel caso di utilizzo delle opzioni di costo semplificato, quanto indicato nella relativa metodologia approvata, </w:t>
      </w:r>
      <w:r w:rsidR="00361754">
        <w:rPr>
          <w:rFonts w:ascii="Garamond" w:hAnsi="Garamond"/>
        </w:rPr>
        <w:t>e</w:t>
      </w:r>
      <w:r w:rsidRPr="779896F3">
        <w:rPr>
          <w:rFonts w:ascii="Garamond" w:hAnsi="Garamond"/>
        </w:rPr>
        <w:t xml:space="preserve"> specificare chiaramente quella cui si intende fare riferimento, allegando la descrizione </w:t>
      </w:r>
      <w:r>
        <w:rPr>
          <w:rFonts w:ascii="Garamond" w:hAnsi="Garamond"/>
        </w:rPr>
        <w:t xml:space="preserve">al presente </w:t>
      </w:r>
      <w:r w:rsidR="00BF3131">
        <w:rPr>
          <w:rFonts w:ascii="Garamond" w:hAnsi="Garamond"/>
        </w:rPr>
        <w:t xml:space="preserve">Accordo </w:t>
      </w:r>
      <w:r w:rsidRPr="779896F3">
        <w:rPr>
          <w:rFonts w:ascii="Garamond" w:hAnsi="Garamond"/>
        </w:rPr>
        <w:t>qua</w:t>
      </w:r>
      <w:r>
        <w:rPr>
          <w:rFonts w:ascii="Garamond" w:hAnsi="Garamond"/>
        </w:rPr>
        <w:t>lora</w:t>
      </w:r>
      <w:r w:rsidRPr="779896F3">
        <w:rPr>
          <w:rFonts w:ascii="Garamond" w:hAnsi="Garamond"/>
        </w:rPr>
        <w:t xml:space="preserve"> si intenda adottare una metodologia regionale;</w:t>
      </w:r>
    </w:p>
    <w:p w14:paraId="2E506DB9" w14:textId="35ACF2DC" w:rsidR="00AD7E0C" w:rsidRPr="0077142B" w:rsidRDefault="00AD7E0C">
      <w:pPr>
        <w:pStyle w:val="Paragrafoelenco"/>
        <w:numPr>
          <w:ilvl w:val="0"/>
          <w:numId w:val="5"/>
        </w:numPr>
        <w:jc w:val="both"/>
        <w:rPr>
          <w:rFonts w:ascii="Garamond" w:hAnsi="Garamond"/>
        </w:rPr>
      </w:pPr>
      <w:r w:rsidRPr="779896F3">
        <w:rPr>
          <w:rFonts w:ascii="Garamond" w:hAnsi="Garamond"/>
        </w:rPr>
        <w:t xml:space="preserve">assicurare la completa tracciabilità delle operazioni e la tenuta di una </w:t>
      </w:r>
      <w:r>
        <w:rPr>
          <w:rFonts w:ascii="Garamond" w:hAnsi="Garamond"/>
        </w:rPr>
        <w:t xml:space="preserve">apposita </w:t>
      </w:r>
      <w:r w:rsidRPr="779896F3">
        <w:rPr>
          <w:rFonts w:ascii="Garamond" w:hAnsi="Garamond"/>
        </w:rPr>
        <w:t>codificazione contabile per l’utilizzo delle risorse del PNRR secondo le indicazioni fornite dal Ministero dell’Economia e delle finanze</w:t>
      </w:r>
      <w:r>
        <w:rPr>
          <w:rFonts w:ascii="Garamond" w:hAnsi="Garamond"/>
        </w:rPr>
        <w:t xml:space="preserve"> e nel rispetto della normativa richiamata in premessa. In particolare</w:t>
      </w:r>
      <w:r w:rsidR="00670003">
        <w:rPr>
          <w:rFonts w:ascii="Garamond" w:hAnsi="Garamond"/>
        </w:rPr>
        <w:t>,</w:t>
      </w:r>
      <w:r>
        <w:rPr>
          <w:rFonts w:ascii="Garamond" w:hAnsi="Garamond"/>
        </w:rPr>
        <w:t xml:space="preserve"> nel rispetto della previsione </w:t>
      </w:r>
      <w:r w:rsidR="0098360C">
        <w:rPr>
          <w:rFonts w:ascii="Garamond" w:hAnsi="Garamond"/>
        </w:rPr>
        <w:t>di cui all’</w:t>
      </w:r>
      <w:r>
        <w:rPr>
          <w:rFonts w:ascii="Garamond" w:hAnsi="Garamond"/>
        </w:rPr>
        <w:t>art. 5 comma 1 del DPCM monitoraggio PNRR del 15 settembre 2021</w:t>
      </w:r>
      <w:r w:rsidR="00670003">
        <w:rPr>
          <w:rFonts w:ascii="Garamond" w:hAnsi="Garamond"/>
        </w:rPr>
        <w:t>,</w:t>
      </w:r>
      <w:r>
        <w:rPr>
          <w:rFonts w:ascii="Garamond" w:hAnsi="Garamond"/>
        </w:rPr>
        <w:t xml:space="preserve"> si impegna a dotarsi per ciascun </w:t>
      </w:r>
      <w:r w:rsidRPr="00360AAB">
        <w:rPr>
          <w:rFonts w:ascii="Garamond" w:hAnsi="Garamond"/>
        </w:rPr>
        <w:t>progetto</w:t>
      </w:r>
      <w:r>
        <w:rPr>
          <w:rFonts w:ascii="Garamond" w:hAnsi="Garamond"/>
        </w:rPr>
        <w:t xml:space="preserve"> PNRR, a pena di nullità dello stesso, di un Codice Unico di </w:t>
      </w:r>
      <w:r w:rsidR="00C654A7">
        <w:rPr>
          <w:rFonts w:ascii="Garamond" w:hAnsi="Garamond"/>
        </w:rPr>
        <w:t>P</w:t>
      </w:r>
      <w:r>
        <w:rPr>
          <w:rFonts w:ascii="Garamond" w:hAnsi="Garamond"/>
        </w:rPr>
        <w:t>rogetto (CUP), in conformità a quanto previsto dalla Delibera CIPE n.63/2020</w:t>
      </w:r>
      <w:r w:rsidR="00B01E3F">
        <w:rPr>
          <w:rFonts w:ascii="Garamond" w:hAnsi="Garamond"/>
        </w:rPr>
        <w:t>,</w:t>
      </w:r>
      <w:r>
        <w:rPr>
          <w:rFonts w:ascii="Garamond" w:hAnsi="Garamond"/>
        </w:rPr>
        <w:t xml:space="preserve"> e a riportarlo su tutti i documenti giustificativi di spesa e di pagamento</w:t>
      </w:r>
      <w:r w:rsidRPr="779896F3">
        <w:rPr>
          <w:rFonts w:ascii="Garamond" w:hAnsi="Garamond"/>
        </w:rPr>
        <w:t>;</w:t>
      </w:r>
    </w:p>
    <w:p w14:paraId="5E8E248D" w14:textId="46EDAA4D" w:rsidR="00AD7E0C" w:rsidRPr="00AB0D04" w:rsidRDefault="00AD7E0C">
      <w:pPr>
        <w:pStyle w:val="Paragrafoelenco"/>
        <w:numPr>
          <w:ilvl w:val="0"/>
          <w:numId w:val="5"/>
        </w:numPr>
        <w:jc w:val="both"/>
        <w:rPr>
          <w:rFonts w:ascii="Garamond" w:hAnsi="Garamond"/>
        </w:rPr>
      </w:pPr>
      <w:r w:rsidRPr="779896F3">
        <w:rPr>
          <w:rFonts w:ascii="Garamond" w:hAnsi="Garamond"/>
        </w:rPr>
        <w:t>vigilare sulla regolarità delle procedure e delle spese e adottare tutte le iniziative necessarie a prevenire, correggere e sanzionare le irregolarità e gli indebiti utilizzi delle risorse</w:t>
      </w:r>
      <w:r w:rsidR="00C654A7">
        <w:rPr>
          <w:rFonts w:ascii="Garamond" w:hAnsi="Garamond"/>
        </w:rPr>
        <w:t>;</w:t>
      </w:r>
      <w:r w:rsidRPr="779896F3">
        <w:rPr>
          <w:rFonts w:ascii="Garamond" w:hAnsi="Garamond"/>
        </w:rPr>
        <w:t xml:space="preserve"> </w:t>
      </w:r>
    </w:p>
    <w:p w14:paraId="0E1D26F8" w14:textId="7231D97A" w:rsidR="00AD7E0C" w:rsidRPr="00AB0D04" w:rsidRDefault="00AD7E0C">
      <w:pPr>
        <w:pStyle w:val="Paragrafoelenco"/>
        <w:numPr>
          <w:ilvl w:val="0"/>
          <w:numId w:val="5"/>
        </w:numPr>
        <w:jc w:val="both"/>
        <w:rPr>
          <w:rFonts w:ascii="Garamond" w:hAnsi="Garamond"/>
        </w:rPr>
      </w:pPr>
      <w:r w:rsidRPr="779896F3">
        <w:rPr>
          <w:rFonts w:ascii="Garamond" w:hAnsi="Garamond"/>
        </w:rPr>
        <w:t>assicurare l’adozione di misure adeguate volte a rispettare il principio di sana gestione finanziaria secondo quanto disciplinato nel Regolamento finanziario (UE, Euratom) 2018/1046 e nell’art.</w:t>
      </w:r>
      <w:r w:rsidR="00AE44AD">
        <w:rPr>
          <w:rFonts w:ascii="Garamond" w:hAnsi="Garamond"/>
        </w:rPr>
        <w:t xml:space="preserve"> </w:t>
      </w:r>
      <w:r w:rsidRPr="779896F3">
        <w:rPr>
          <w:rFonts w:ascii="Garamond" w:hAnsi="Garamond"/>
        </w:rPr>
        <w:t>22 del Regolamento (UE) 2021/241, in particolare in materia di prevenzione dei conflitti di interessi, delle frodi, della corruzione e di recupero e restituzione dei fondi che sono stati indebitamente assegnati;</w:t>
      </w:r>
    </w:p>
    <w:p w14:paraId="0F6CA13C" w14:textId="793034D8" w:rsidR="00AD7E0C" w:rsidRPr="0077142B" w:rsidRDefault="00AD7E0C">
      <w:pPr>
        <w:pStyle w:val="Paragrafoelenco"/>
        <w:numPr>
          <w:ilvl w:val="0"/>
          <w:numId w:val="5"/>
        </w:numPr>
        <w:jc w:val="both"/>
      </w:pPr>
      <w:r w:rsidRPr="779896F3">
        <w:rPr>
          <w:rFonts w:ascii="Garamond" w:hAnsi="Garamond"/>
        </w:rPr>
        <w:t>garantire la conservazione della documentazione progettuale</w:t>
      </w:r>
      <w:r>
        <w:rPr>
          <w:rFonts w:ascii="Garamond" w:hAnsi="Garamond"/>
        </w:rPr>
        <w:t>, delle procedure di monitoraggio, rendicontazione e controllo e dell</w:t>
      </w:r>
      <w:r w:rsidRPr="779896F3">
        <w:rPr>
          <w:rFonts w:ascii="Garamond" w:hAnsi="Garamond"/>
        </w:rPr>
        <w:t>a relativa documentazione giustificativa in fascicoli informatici per assicurare la completa tracciabilità delle operazioni - nel rispetto di quanto previsto all’art. 9 punto 4 del decreto legge 77 del 31 maggio 2021, convertito con modificazioni dalla legge n. 108/2021 - che, nelle diverse fasi di controllo e verifica previste dal sistema di gestione e controllo del PNRR, dovranno essere messi prontamente a disposizione su richiesta dell’Amministrazione centrale titolare di intervent</w:t>
      </w:r>
      <w:r w:rsidR="00E923B2">
        <w:rPr>
          <w:rFonts w:ascii="Garamond" w:hAnsi="Garamond"/>
        </w:rPr>
        <w:t>i</w:t>
      </w:r>
      <w:r w:rsidRPr="779896F3">
        <w:rPr>
          <w:rFonts w:ascii="Garamond" w:hAnsi="Garamond"/>
        </w:rPr>
        <w:t xml:space="preserve"> PNRR, del Servizio centrale per il PNRR, dell’Unità di Audit, della Commissione europea, dell’OLAF, della Corte dei Conti europea (ECA), della Procura europea (EPPO) e delle competenti Autorità giudiziarie nazionali</w:t>
      </w:r>
      <w:r w:rsidR="00CA65F0">
        <w:rPr>
          <w:rFonts w:ascii="Garamond" w:hAnsi="Garamond"/>
        </w:rPr>
        <w:t>,</w:t>
      </w:r>
      <w:r w:rsidRPr="779896F3">
        <w:rPr>
          <w:rFonts w:ascii="Garamond" w:hAnsi="Garamond"/>
        </w:rPr>
        <w:t xml:space="preserve"> e autorizzare la Commissione, l'OLAF, la Corte dei conti e l'EPPO a esercitare i diritti di cui all'articolo 129, paragrafo 1, del Regolamento finanziario (UE; EURATOM) 1046/2018;</w:t>
      </w:r>
    </w:p>
    <w:p w14:paraId="5572238F" w14:textId="59CD1754" w:rsidR="00AD7E0C" w:rsidRPr="00AB0D04" w:rsidRDefault="00AD7E0C">
      <w:pPr>
        <w:pStyle w:val="Paragrafoelenco"/>
        <w:numPr>
          <w:ilvl w:val="0"/>
          <w:numId w:val="5"/>
        </w:numPr>
        <w:jc w:val="both"/>
        <w:rPr>
          <w:rFonts w:ascii="Garamond" w:hAnsi="Garamond"/>
        </w:rPr>
      </w:pPr>
      <w:r w:rsidRPr="779896F3">
        <w:rPr>
          <w:rFonts w:ascii="Garamond" w:hAnsi="Garamond"/>
        </w:rPr>
        <w:t>garantire</w:t>
      </w:r>
      <w:r w:rsidR="00BC6A2D">
        <w:rPr>
          <w:rFonts w:ascii="Garamond" w:hAnsi="Garamond"/>
        </w:rPr>
        <w:t>,</w:t>
      </w:r>
      <w:r w:rsidRPr="779896F3">
        <w:rPr>
          <w:rFonts w:ascii="Garamond" w:hAnsi="Garamond"/>
        </w:rPr>
        <w:t xml:space="preserve"> in particolare</w:t>
      </w:r>
      <w:r w:rsidR="00BC6A2D">
        <w:rPr>
          <w:rFonts w:ascii="Garamond" w:hAnsi="Garamond"/>
        </w:rPr>
        <w:t>,</w:t>
      </w:r>
      <w:r w:rsidRPr="779896F3">
        <w:rPr>
          <w:rFonts w:ascii="Garamond" w:hAnsi="Garamond"/>
        </w:rPr>
        <w:t xml:space="preserve"> la disponibilità dei documenti relativi </w:t>
      </w:r>
      <w:r w:rsidR="00885FE2">
        <w:rPr>
          <w:rFonts w:ascii="Garamond" w:hAnsi="Garamond"/>
        </w:rPr>
        <w:t xml:space="preserve">all’Obiettivo generale PNRR </w:t>
      </w:r>
      <w:r w:rsidRPr="779896F3">
        <w:rPr>
          <w:rFonts w:ascii="Garamond" w:hAnsi="Garamond"/>
        </w:rPr>
        <w:t>nonché dei giustificativi relativi alle spese sostenute</w:t>
      </w:r>
      <w:r w:rsidR="004502D9">
        <w:rPr>
          <w:rFonts w:ascii="Garamond" w:hAnsi="Garamond"/>
        </w:rPr>
        <w:t>,</w:t>
      </w:r>
      <w:r w:rsidRPr="779896F3">
        <w:rPr>
          <w:rFonts w:ascii="Garamond" w:hAnsi="Garamond"/>
        </w:rPr>
        <w:t xml:space="preserve"> così come previsto ai sensi dell’articolo 9 punto 4 del </w:t>
      </w:r>
      <w:r w:rsidR="00C654A7">
        <w:rPr>
          <w:rFonts w:ascii="Garamond" w:hAnsi="Garamond"/>
        </w:rPr>
        <w:t>D</w:t>
      </w:r>
      <w:r w:rsidRPr="779896F3">
        <w:rPr>
          <w:rFonts w:ascii="Garamond" w:hAnsi="Garamond"/>
        </w:rPr>
        <w:t xml:space="preserve">ecreto </w:t>
      </w:r>
      <w:r w:rsidR="00C654A7">
        <w:rPr>
          <w:rFonts w:ascii="Garamond" w:hAnsi="Garamond"/>
        </w:rPr>
        <w:t>L</w:t>
      </w:r>
      <w:r w:rsidRPr="779896F3">
        <w:rPr>
          <w:rFonts w:ascii="Garamond" w:hAnsi="Garamond"/>
        </w:rPr>
        <w:t>egge n. 77 del 31/05/2021, convertito con modificazioni dalla legge n. 108/2021;</w:t>
      </w:r>
    </w:p>
    <w:p w14:paraId="16CAF799" w14:textId="539D5E51" w:rsidR="00AD7E0C" w:rsidRPr="00AB0D04" w:rsidRDefault="00AD7E0C">
      <w:pPr>
        <w:pStyle w:val="Paragrafoelenco"/>
        <w:numPr>
          <w:ilvl w:val="0"/>
          <w:numId w:val="5"/>
        </w:numPr>
        <w:jc w:val="both"/>
        <w:rPr>
          <w:rFonts w:ascii="Garamond" w:hAnsi="Garamond"/>
        </w:rPr>
      </w:pPr>
      <w:r w:rsidRPr="779896F3">
        <w:rPr>
          <w:rFonts w:ascii="Garamond" w:hAnsi="Garamond"/>
        </w:rPr>
        <w:t xml:space="preserve">favorire l’accesso, anche mediante sistemi di partecipazione da remoto o virtuali, all’Amministrazione centrale titolare </w:t>
      </w:r>
      <w:r w:rsidR="00F71470">
        <w:rPr>
          <w:rFonts w:ascii="Garamond" w:hAnsi="Garamond"/>
        </w:rPr>
        <w:t>di</w:t>
      </w:r>
      <w:r w:rsidR="00F71470" w:rsidRPr="779896F3">
        <w:rPr>
          <w:rFonts w:ascii="Garamond" w:hAnsi="Garamond"/>
        </w:rPr>
        <w:t xml:space="preserve"> </w:t>
      </w:r>
      <w:r w:rsidRPr="779896F3">
        <w:rPr>
          <w:rFonts w:ascii="Garamond" w:hAnsi="Garamond"/>
        </w:rPr>
        <w:t xml:space="preserve">interventi </w:t>
      </w:r>
      <w:r w:rsidR="00F71470">
        <w:rPr>
          <w:rFonts w:ascii="Garamond" w:hAnsi="Garamond"/>
        </w:rPr>
        <w:t xml:space="preserve">PNRR </w:t>
      </w:r>
      <w:r w:rsidRPr="779896F3">
        <w:rPr>
          <w:rFonts w:ascii="Garamond" w:hAnsi="Garamond"/>
        </w:rPr>
        <w:t xml:space="preserve">per l’esecuzione delle verifiche in itinere </w:t>
      </w:r>
      <w:r>
        <w:rPr>
          <w:rFonts w:ascii="Garamond" w:hAnsi="Garamond"/>
        </w:rPr>
        <w:t xml:space="preserve">di competenza </w:t>
      </w:r>
      <w:r w:rsidRPr="779896F3">
        <w:rPr>
          <w:rFonts w:ascii="Garamond" w:hAnsi="Garamond"/>
        </w:rPr>
        <w:t xml:space="preserve">sul conseguimento </w:t>
      </w:r>
      <w:r w:rsidR="00885FE2">
        <w:rPr>
          <w:rFonts w:ascii="Garamond" w:hAnsi="Garamond"/>
        </w:rPr>
        <w:t>dell’Obiettivo generale PNRR</w:t>
      </w:r>
      <w:r w:rsidRPr="00AB0D04">
        <w:rPr>
          <w:rFonts w:ascii="Garamond" w:hAnsi="Garamond"/>
        </w:rPr>
        <w:t>;</w:t>
      </w:r>
    </w:p>
    <w:p w14:paraId="03896979" w14:textId="57383B2A" w:rsidR="00AD7E0C" w:rsidRPr="00AB0D04" w:rsidRDefault="00AD7E0C">
      <w:pPr>
        <w:pStyle w:val="Paragrafoelenco"/>
        <w:numPr>
          <w:ilvl w:val="0"/>
          <w:numId w:val="5"/>
        </w:numPr>
        <w:jc w:val="both"/>
        <w:rPr>
          <w:rFonts w:ascii="Garamond" w:hAnsi="Garamond"/>
        </w:rPr>
      </w:pPr>
      <w:r w:rsidRPr="779896F3">
        <w:rPr>
          <w:rFonts w:ascii="Garamond" w:hAnsi="Garamond"/>
        </w:rPr>
        <w:t>inoltrare le Richieste di trasferimento delle risorse all’Amministrazione centrale</w:t>
      </w:r>
      <w:r w:rsidR="00F71470">
        <w:rPr>
          <w:rFonts w:ascii="Garamond" w:hAnsi="Garamond"/>
        </w:rPr>
        <w:t xml:space="preserve"> titolare di interventi PNRR</w:t>
      </w:r>
      <w:r w:rsidRPr="779896F3">
        <w:rPr>
          <w:rFonts w:ascii="Garamond" w:hAnsi="Garamond"/>
        </w:rPr>
        <w:t xml:space="preserve">; </w:t>
      </w:r>
    </w:p>
    <w:p w14:paraId="49A005F9" w14:textId="210FE90E" w:rsidR="00AD7E0C" w:rsidRPr="00C61F22" w:rsidRDefault="00AD7E0C">
      <w:pPr>
        <w:pStyle w:val="Paragrafoelenco"/>
        <w:numPr>
          <w:ilvl w:val="0"/>
          <w:numId w:val="5"/>
        </w:numPr>
        <w:jc w:val="both"/>
        <w:rPr>
          <w:rFonts w:ascii="Garamond" w:hAnsi="Garamond"/>
        </w:rPr>
      </w:pPr>
      <w:r w:rsidRPr="779896F3">
        <w:rPr>
          <w:rFonts w:ascii="Garamond" w:hAnsi="Garamond"/>
        </w:rPr>
        <w:t xml:space="preserve">predisporre i pagamenti ai </w:t>
      </w:r>
      <w:r w:rsidR="00C12FCA" w:rsidRPr="00C61F22">
        <w:rPr>
          <w:rFonts w:ascii="Garamond" w:hAnsi="Garamond"/>
        </w:rPr>
        <w:t>Soggetti esecutori,</w:t>
      </w:r>
      <w:r w:rsidRPr="00C61F22">
        <w:rPr>
          <w:rFonts w:ascii="Garamond" w:hAnsi="Garamond"/>
        </w:rPr>
        <w:t xml:space="preserve"> effettuando le verifiche in uso nell’ambito della gestione dei programmi dei fondi strutturali, inserendo nel sistema informatico i relativi documenti riferiti alle procedure e i giustificativi di spesa e pagamento necessari, ove applicabili, ai controlli ordinari di legalità e ai controlli amministrativo-contabili previsti dalla legislazione nazionale applicabile, nel rispetto di quanto previsto dall’articolo 22 del Reg. (UE) n. 2021/241 e d</w:t>
      </w:r>
      <w:r w:rsidR="007F0B82" w:rsidRPr="00C61F22">
        <w:rPr>
          <w:rFonts w:ascii="Garamond" w:hAnsi="Garamond"/>
        </w:rPr>
        <w:t>a</w:t>
      </w:r>
      <w:r w:rsidRPr="00C61F22">
        <w:rPr>
          <w:rFonts w:ascii="Garamond" w:hAnsi="Garamond"/>
        </w:rPr>
        <w:t>ll’art. 9 del decreto legge n. 77 del 31/05/2021, convertito con modificazioni dalla legge n. 108/2021, nonché nel rispetto della normative e delle circolari richiamate in premessa;</w:t>
      </w:r>
    </w:p>
    <w:p w14:paraId="1B11F215" w14:textId="42F6FC9C" w:rsidR="00AD7E0C" w:rsidRPr="00C61F22" w:rsidRDefault="00AD7E0C" w:rsidP="00E8765B">
      <w:pPr>
        <w:pStyle w:val="Paragrafoelenco"/>
        <w:numPr>
          <w:ilvl w:val="0"/>
          <w:numId w:val="5"/>
        </w:numPr>
        <w:jc w:val="both"/>
        <w:rPr>
          <w:rFonts w:ascii="Garamond" w:hAnsi="Garamond"/>
        </w:rPr>
      </w:pPr>
      <w:r w:rsidRPr="00C61F22">
        <w:rPr>
          <w:rFonts w:ascii="Garamond" w:hAnsi="Garamond"/>
        </w:rPr>
        <w:t xml:space="preserve">conformarsi alle indicazioni fornite dall’Amministrazione centrale titolare </w:t>
      </w:r>
      <w:r w:rsidR="00223F1F" w:rsidRPr="00C61F22">
        <w:rPr>
          <w:rFonts w:ascii="Garamond" w:hAnsi="Garamond"/>
        </w:rPr>
        <w:t xml:space="preserve">di interventi PNRR </w:t>
      </w:r>
      <w:r w:rsidRPr="00C61F22">
        <w:rPr>
          <w:rFonts w:ascii="Garamond" w:hAnsi="Garamond"/>
        </w:rPr>
        <w:t xml:space="preserve">e alle linee guida e circolari emanate dal Ministero dell’economia e delle finanze, in tema di monitoraggio, controllo e rendicontazione e per qualsiasi altra attività inerente </w:t>
      </w:r>
      <w:r w:rsidR="00EB06C3" w:rsidRPr="00C61F22">
        <w:rPr>
          <w:rFonts w:ascii="Garamond" w:hAnsi="Garamond"/>
        </w:rPr>
        <w:t>al</w:t>
      </w:r>
      <w:r w:rsidRPr="00C61F22">
        <w:rPr>
          <w:rFonts w:ascii="Garamond" w:hAnsi="Garamond"/>
        </w:rPr>
        <w:t xml:space="preserve">la corretta realizzazione dell’intervento per il perseguimento dell’obiettivo comune di cui all’art. 2 e 3 del presente </w:t>
      </w:r>
      <w:r w:rsidR="00BF3131" w:rsidRPr="00C61F22">
        <w:rPr>
          <w:rFonts w:ascii="Garamond" w:hAnsi="Garamond"/>
        </w:rPr>
        <w:t>Accordo</w:t>
      </w:r>
      <w:r w:rsidR="005519E6" w:rsidRPr="00C61F22">
        <w:rPr>
          <w:rFonts w:ascii="Garamond" w:hAnsi="Garamond"/>
        </w:rPr>
        <w:t>;</w:t>
      </w:r>
    </w:p>
    <w:p w14:paraId="1A80D431" w14:textId="20E5D6E3" w:rsidR="00AD7E0C" w:rsidRDefault="006B689E" w:rsidP="00BF3131">
      <w:pPr>
        <w:pStyle w:val="Paragrafoelenco"/>
        <w:numPr>
          <w:ilvl w:val="0"/>
          <w:numId w:val="5"/>
        </w:numPr>
        <w:jc w:val="both"/>
        <w:rPr>
          <w:rFonts w:ascii="Garamond" w:hAnsi="Garamond"/>
        </w:rPr>
      </w:pPr>
      <w:r w:rsidRPr="00C61F22">
        <w:rPr>
          <w:rFonts w:ascii="Garamond" w:hAnsi="Garamond"/>
        </w:rPr>
        <w:t>i</w:t>
      </w:r>
      <w:r w:rsidR="00AD7E0C" w:rsidRPr="00C61F22">
        <w:rPr>
          <w:rFonts w:ascii="Garamond" w:hAnsi="Garamond"/>
        </w:rPr>
        <w:t>nviare</w:t>
      </w:r>
      <w:r w:rsidR="002109C1" w:rsidRPr="00C61F22">
        <w:rPr>
          <w:rFonts w:ascii="Garamond" w:hAnsi="Garamond"/>
        </w:rPr>
        <w:t xml:space="preserve"> </w:t>
      </w:r>
      <w:bookmarkStart w:id="2" w:name="_Hlk115429139"/>
      <w:r w:rsidR="002109C1" w:rsidRPr="00C61F22">
        <w:rPr>
          <w:rFonts w:ascii="Garamond" w:hAnsi="Garamond"/>
        </w:rPr>
        <w:t>all’Amministrazione centrale titolare di interventi PNRR</w:t>
      </w:r>
      <w:bookmarkEnd w:id="2"/>
      <w:r w:rsidR="002109C1" w:rsidRPr="00C61F22">
        <w:rPr>
          <w:rFonts w:ascii="Garamond" w:hAnsi="Garamond"/>
        </w:rPr>
        <w:t xml:space="preserve"> </w:t>
      </w:r>
      <w:r w:rsidR="00AD7E0C" w:rsidRPr="00C61F22">
        <w:rPr>
          <w:rFonts w:ascii="Garamond" w:hAnsi="Garamond"/>
        </w:rPr>
        <w:t>almeno due volte l’anno: rispettivamente entro il 31 gennaio e</w:t>
      </w:r>
      <w:r w:rsidR="00A5619C" w:rsidRPr="00C61F22">
        <w:rPr>
          <w:rFonts w:ascii="Garamond" w:hAnsi="Garamond"/>
        </w:rPr>
        <w:t>d</w:t>
      </w:r>
      <w:r w:rsidR="00AD7E0C" w:rsidRPr="00C61F22">
        <w:rPr>
          <w:rFonts w:ascii="Garamond" w:hAnsi="Garamond"/>
        </w:rPr>
        <w:t xml:space="preserve"> entro il 31 luglio previsioni di spesa</w:t>
      </w:r>
      <w:r w:rsidR="00AD7E0C">
        <w:rPr>
          <w:rFonts w:ascii="Garamond" w:hAnsi="Garamond"/>
        </w:rPr>
        <w:t xml:space="preserve"> aggiornate secondo un cronoprogramma riferito all’intera durata del progetto;</w:t>
      </w:r>
    </w:p>
    <w:p w14:paraId="5B5916FE" w14:textId="3B86D22F" w:rsidR="00AD7E0C" w:rsidRDefault="006B689E" w:rsidP="004D256D">
      <w:pPr>
        <w:pStyle w:val="Paragrafoelenco"/>
        <w:numPr>
          <w:ilvl w:val="0"/>
          <w:numId w:val="5"/>
        </w:numPr>
        <w:jc w:val="both"/>
        <w:rPr>
          <w:rFonts w:ascii="Garamond" w:hAnsi="Garamond"/>
        </w:rPr>
      </w:pPr>
      <w:r>
        <w:rPr>
          <w:rFonts w:ascii="Garamond" w:hAnsi="Garamond"/>
        </w:rPr>
        <w:t>r</w:t>
      </w:r>
      <w:r w:rsidR="00AD7E0C">
        <w:rPr>
          <w:rFonts w:ascii="Garamond" w:hAnsi="Garamond"/>
        </w:rPr>
        <w:t>ispettare il Cronoprogramma (Iter di progetto, come denominato da</w:t>
      </w:r>
      <w:r w:rsidR="00A16F94">
        <w:rPr>
          <w:rFonts w:ascii="Garamond" w:hAnsi="Garamond"/>
        </w:rPr>
        <w:t>lla</w:t>
      </w:r>
      <w:r w:rsidR="00AD7E0C" w:rsidRPr="00C2172F">
        <w:rPr>
          <w:rFonts w:ascii="Garamond" w:hAnsi="Garamond"/>
        </w:rPr>
        <w:t xml:space="preserve"> </w:t>
      </w:r>
      <w:r w:rsidR="00AD7E0C">
        <w:rPr>
          <w:rFonts w:ascii="Garamond" w:hAnsi="Garamond"/>
        </w:rPr>
        <w:t xml:space="preserve">Circolare RGS n. 27 del 21 giugno 2022) e comunicare preventivamente all’Amministrazione centrale titolare </w:t>
      </w:r>
      <w:r w:rsidR="00223F1F">
        <w:rPr>
          <w:rFonts w:ascii="Garamond" w:hAnsi="Garamond"/>
        </w:rPr>
        <w:t xml:space="preserve">di interventi PNRR </w:t>
      </w:r>
      <w:r w:rsidR="00AD7E0C">
        <w:rPr>
          <w:rFonts w:ascii="Garamond" w:hAnsi="Garamond"/>
        </w:rPr>
        <w:t>eventuali impedimenti e/o criticità sopravvenienti tali da mettere a rischio il rispetto della tempistica stabilita;</w:t>
      </w:r>
    </w:p>
    <w:p w14:paraId="7656915B" w14:textId="7A00ABCE" w:rsidR="00AD7E0C" w:rsidRDefault="006B689E" w:rsidP="004D256D">
      <w:pPr>
        <w:pStyle w:val="Paragrafoelenco"/>
        <w:numPr>
          <w:ilvl w:val="0"/>
          <w:numId w:val="5"/>
        </w:numPr>
        <w:jc w:val="both"/>
        <w:rPr>
          <w:rFonts w:ascii="Garamond" w:hAnsi="Garamond"/>
        </w:rPr>
      </w:pPr>
      <w:r>
        <w:rPr>
          <w:rFonts w:ascii="Garamond" w:hAnsi="Garamond"/>
        </w:rPr>
        <w:t>a</w:t>
      </w:r>
      <w:r w:rsidR="00AD7E0C">
        <w:rPr>
          <w:rFonts w:ascii="Garamond" w:hAnsi="Garamond"/>
        </w:rPr>
        <w:t>limentare il sistema ReGiS in maniera continua, costante e tempestiva, con tutte le informazioni rilevanti e i dati di programmazione ed attuazione finanziaria</w:t>
      </w:r>
      <w:r w:rsidR="0050494D">
        <w:rPr>
          <w:rFonts w:ascii="Garamond" w:hAnsi="Garamond"/>
        </w:rPr>
        <w:t xml:space="preserve"> e</w:t>
      </w:r>
      <w:r w:rsidR="00AD7E0C">
        <w:rPr>
          <w:rFonts w:ascii="Garamond" w:hAnsi="Garamond"/>
        </w:rPr>
        <w:t xml:space="preserve"> procedurale dei progetti, </w:t>
      </w:r>
      <w:r w:rsidR="00F25D2C">
        <w:rPr>
          <w:rFonts w:ascii="Garamond" w:hAnsi="Garamond"/>
        </w:rPr>
        <w:t xml:space="preserve">nonché degli indicatori </w:t>
      </w:r>
      <w:r w:rsidR="00AD7E0C">
        <w:rPr>
          <w:rFonts w:ascii="Garamond" w:hAnsi="Garamond"/>
        </w:rPr>
        <w:t>in conformità a quanto stabilito dal Paragrafo 3 delle Linee Guida sul Monitoraggio</w:t>
      </w:r>
      <w:r w:rsidR="00EC4844">
        <w:rPr>
          <w:rFonts w:ascii="Garamond" w:hAnsi="Garamond"/>
        </w:rPr>
        <w:t>,</w:t>
      </w:r>
      <w:r w:rsidR="00AD7E0C">
        <w:rPr>
          <w:rFonts w:ascii="Garamond" w:hAnsi="Garamond"/>
        </w:rPr>
        <w:t xml:space="preserve"> anche mediante acquisizione automatica delle informazioni registrat</w:t>
      </w:r>
      <w:r w:rsidR="00382B16">
        <w:rPr>
          <w:rFonts w:ascii="Garamond" w:hAnsi="Garamond"/>
        </w:rPr>
        <w:t>e</w:t>
      </w:r>
      <w:r w:rsidR="00AD7E0C">
        <w:rPr>
          <w:rFonts w:ascii="Garamond" w:hAnsi="Garamond"/>
        </w:rPr>
        <w:t xml:space="preserve"> in sistemi informativi locali garantita dal protocollo unico di colloquio, allegato alla Circolare RGS n. 27 del 21 giugno 2022 richiamata in premessa, aggiornandoli entro il 10 di ciascun mese con riferimento all’arco temporale fino al 31 del mese precedente (vedi Tabella pagina 10 “</w:t>
      </w:r>
      <w:r w:rsidR="00AD7E0C" w:rsidRPr="00696475">
        <w:rPr>
          <w:rFonts w:ascii="Garamond" w:hAnsi="Garamond"/>
          <w:i/>
          <w:iCs/>
        </w:rPr>
        <w:t>PNRR – Scadenze di Monitoraggio</w:t>
      </w:r>
      <w:r w:rsidR="00AD7E0C">
        <w:rPr>
          <w:rFonts w:ascii="Garamond" w:hAnsi="Garamond"/>
        </w:rPr>
        <w:t>” della medesima Circolare);</w:t>
      </w:r>
    </w:p>
    <w:p w14:paraId="721344DE" w14:textId="37933A68" w:rsidR="00AD7E0C" w:rsidRDefault="006B689E" w:rsidP="004D256D">
      <w:pPr>
        <w:pStyle w:val="Paragrafoelenco"/>
        <w:numPr>
          <w:ilvl w:val="0"/>
          <w:numId w:val="5"/>
        </w:numPr>
        <w:jc w:val="both"/>
        <w:rPr>
          <w:rFonts w:ascii="Garamond" w:hAnsi="Garamond"/>
        </w:rPr>
      </w:pPr>
      <w:r>
        <w:rPr>
          <w:rFonts w:ascii="Garamond" w:hAnsi="Garamond"/>
        </w:rPr>
        <w:t>e</w:t>
      </w:r>
      <w:r w:rsidR="00AD7E0C">
        <w:rPr>
          <w:rFonts w:ascii="Garamond" w:hAnsi="Garamond"/>
        </w:rPr>
        <w:t>seguire la pre-validazione dei dati mediante la funzione messa a disposizione dal Sistema ReGiS</w:t>
      </w:r>
      <w:r w:rsidR="003D7264">
        <w:rPr>
          <w:rFonts w:ascii="Garamond" w:hAnsi="Garamond"/>
        </w:rPr>
        <w:t>,</w:t>
      </w:r>
      <w:r w:rsidR="00AD7E0C">
        <w:rPr>
          <w:rFonts w:ascii="Garamond" w:hAnsi="Garamond"/>
        </w:rPr>
        <w:t xml:space="preserve"> che costituisce un controllo automatico volto a garantire la coerenza e la completezza dei dati inseriti;</w:t>
      </w:r>
    </w:p>
    <w:p w14:paraId="6845FFBE" w14:textId="2E252B29" w:rsidR="00AD7E0C" w:rsidRPr="00AB0D04" w:rsidRDefault="006B689E" w:rsidP="001178EF">
      <w:pPr>
        <w:pStyle w:val="Paragrafoelenco"/>
        <w:numPr>
          <w:ilvl w:val="0"/>
          <w:numId w:val="5"/>
        </w:numPr>
        <w:jc w:val="both"/>
        <w:rPr>
          <w:rFonts w:ascii="Garamond" w:hAnsi="Garamond"/>
        </w:rPr>
      </w:pPr>
      <w:r>
        <w:rPr>
          <w:rFonts w:ascii="Garamond" w:hAnsi="Garamond"/>
        </w:rPr>
        <w:t>i</w:t>
      </w:r>
      <w:r w:rsidR="00AD7E0C">
        <w:rPr>
          <w:rFonts w:ascii="Garamond" w:hAnsi="Garamond"/>
        </w:rPr>
        <w:t>ndicare uno o più referenti responsabili della corretta alimentazione del Sistema informativo ReGiS</w:t>
      </w:r>
      <w:r w:rsidR="0072212F">
        <w:rPr>
          <w:rFonts w:ascii="Garamond" w:hAnsi="Garamond"/>
        </w:rPr>
        <w:t>.</w:t>
      </w:r>
    </w:p>
    <w:p w14:paraId="108C2191" w14:textId="77777777" w:rsidR="00631E64" w:rsidRPr="0077142B" w:rsidRDefault="00631E64" w:rsidP="001E72D1">
      <w:pPr>
        <w:rPr>
          <w:rFonts w:ascii="Garamond" w:hAnsi="Garamond"/>
          <w:b/>
          <w:bCs/>
        </w:rPr>
      </w:pPr>
    </w:p>
    <w:p w14:paraId="5090FD81" w14:textId="77777777" w:rsidR="00DB6020" w:rsidRPr="0077142B" w:rsidRDefault="00DB6020" w:rsidP="001178EF">
      <w:pPr>
        <w:jc w:val="center"/>
        <w:rPr>
          <w:rFonts w:ascii="Garamond" w:hAnsi="Garamond"/>
          <w:b/>
          <w:bCs/>
        </w:rPr>
      </w:pPr>
      <w:r w:rsidRPr="0077142B">
        <w:rPr>
          <w:rFonts w:ascii="Garamond" w:hAnsi="Garamond"/>
          <w:b/>
          <w:bCs/>
        </w:rPr>
        <w:t>Articolo 6</w:t>
      </w:r>
    </w:p>
    <w:p w14:paraId="655A2915" w14:textId="77777777" w:rsidR="00DB6020" w:rsidRPr="0077142B" w:rsidRDefault="00DB6020" w:rsidP="008B77EF">
      <w:pPr>
        <w:jc w:val="center"/>
        <w:rPr>
          <w:rFonts w:ascii="Garamond" w:hAnsi="Garamond"/>
          <w:b/>
          <w:bCs/>
        </w:rPr>
      </w:pPr>
      <w:r w:rsidRPr="0077142B">
        <w:rPr>
          <w:rFonts w:ascii="Garamond" w:hAnsi="Garamond"/>
          <w:b/>
          <w:bCs/>
        </w:rPr>
        <w:t>(Obblighi e responsabilità delle parti)</w:t>
      </w:r>
    </w:p>
    <w:p w14:paraId="7F104E1B" w14:textId="77777777" w:rsidR="002D1B1A" w:rsidRPr="0077142B" w:rsidRDefault="002D1B1A" w:rsidP="00390FE3">
      <w:pPr>
        <w:jc w:val="both"/>
        <w:rPr>
          <w:rFonts w:ascii="Garamond" w:hAnsi="Garamond"/>
        </w:rPr>
      </w:pPr>
      <w:r w:rsidRPr="55765628">
        <w:rPr>
          <w:rFonts w:ascii="Garamond" w:hAnsi="Garamond"/>
        </w:rPr>
        <w:t>1. Ciascuna parte si impegna, in esecuzione del presente accordo, a contribuire allo svolgimento delle attività di propria competenza con la massima cura e diligenza ed a tenere tempestivamente informata l’altra parte di ogni criticità che dovesse manifestarsi, nonché periodicamente sulle attività effettuate.</w:t>
      </w:r>
    </w:p>
    <w:p w14:paraId="2F915739" w14:textId="77777777" w:rsidR="002D1B1A" w:rsidRPr="0077142B" w:rsidRDefault="002D1B1A" w:rsidP="00390FE3">
      <w:pPr>
        <w:jc w:val="both"/>
        <w:rPr>
          <w:rFonts w:ascii="Garamond" w:hAnsi="Garamond"/>
        </w:rPr>
      </w:pPr>
      <w:r w:rsidRPr="55765628">
        <w:rPr>
          <w:rFonts w:ascii="Garamond" w:hAnsi="Garamond"/>
        </w:rPr>
        <w:t>2. Le parti sono direttamente responsabili della esatta realizzazione delle attività, ciascuna per quanto di propria competenza, ed in conformità con quanto previsto dal presente accordo, nel rispetto della tempistica concordata e stabilita anche mediante specifici cronoprogrammi.</w:t>
      </w:r>
    </w:p>
    <w:p w14:paraId="75CBF175" w14:textId="77777777" w:rsidR="002D1B1A" w:rsidRPr="0077142B" w:rsidRDefault="002D1B1A" w:rsidP="00390FE3">
      <w:pPr>
        <w:jc w:val="both"/>
        <w:rPr>
          <w:rFonts w:ascii="Garamond" w:hAnsi="Garamond"/>
        </w:rPr>
      </w:pPr>
      <w:r w:rsidRPr="7D979DFE">
        <w:rPr>
          <w:rFonts w:ascii="Garamond" w:hAnsi="Garamond"/>
        </w:rPr>
        <w:t>3. Le parti si obbligano ad eseguire le attività oggetto del presente accordo nel rispetto delle regole deontologiche ed etiche, secondo le condizioni, le modalità ed i termini indicati nel presente atto e nei documenti di cui in premessa, nonché nei relativi documenti di indirizzo e linee guida afferenti la realizzazione degli investimenti e riforme incluse nel Piano e nelle indicazioni in merito all’ammissibilità delle spese del PNRR, nelle norme contabili e, ove applicabili, comunitarie in tema di fondi strutturali. A tal riguardo si precisa che nell’ambito della stima dei costi progettuali, l’importo dell’IVA non è incluso ai fini del PNRR.</w:t>
      </w:r>
    </w:p>
    <w:p w14:paraId="2BFB07D9" w14:textId="77777777" w:rsidR="002D1B1A" w:rsidRPr="0077142B" w:rsidRDefault="002D1B1A" w:rsidP="003C1AC7">
      <w:pPr>
        <w:jc w:val="both"/>
        <w:rPr>
          <w:rFonts w:ascii="Garamond" w:hAnsi="Garamond"/>
        </w:rPr>
      </w:pPr>
      <w:r w:rsidRPr="55765628">
        <w:rPr>
          <w:rFonts w:ascii="Garamond" w:hAnsi="Garamond"/>
        </w:rPr>
        <w:t>4. Le parti garantiscono di conservare e mettere a disposizione degli organismi nazionali e comunitari preposti ai controlli tutta la documentazione contabile di cui al Regolamento (UE) 241/2021 del Parlamento europeo e del Consiglio del 12 febbraio 2021 nei limiti temporali previsti, fatta salva in ogni caso la normativa nazionale sulle modalità e i tempi di conservazione di atti e documenti della PA.</w:t>
      </w:r>
    </w:p>
    <w:p w14:paraId="5868CA80" w14:textId="77777777" w:rsidR="002D1B1A" w:rsidRPr="0077142B" w:rsidRDefault="002D1B1A" w:rsidP="429B7B44">
      <w:pPr>
        <w:jc w:val="both"/>
        <w:rPr>
          <w:rFonts w:ascii="Garamond" w:hAnsi="Garamond"/>
        </w:rPr>
      </w:pPr>
      <w:r w:rsidRPr="429B7B44">
        <w:rPr>
          <w:rFonts w:ascii="Garamond" w:hAnsi="Garamond"/>
        </w:rPr>
        <w:t>5. Le parti facilitano gli eventuali controlli anche in loco, effettuati dal Servizio centrale per il PNRR e dall’Unità di audit del PNRR, dalla Commissione Europea e da ogni altro Organismo autorizzato, anche successivamente alla conclusione del progetto, in ottemperanza alle disposizioni contenute nella normativa comunitaria.</w:t>
      </w:r>
    </w:p>
    <w:p w14:paraId="472D72F5" w14:textId="1861D7DB" w:rsidR="002D1B1A" w:rsidRPr="0077142B" w:rsidRDefault="002D1B1A" w:rsidP="00F267A7">
      <w:pPr>
        <w:jc w:val="both"/>
        <w:rPr>
          <w:rFonts w:ascii="Garamond" w:hAnsi="Garamond"/>
        </w:rPr>
      </w:pPr>
      <w:r w:rsidRPr="429B7B44">
        <w:rPr>
          <w:rFonts w:ascii="Garamond" w:hAnsi="Garamond"/>
        </w:rPr>
        <w:t>6. Le parti si obbligano</w:t>
      </w:r>
      <w:r w:rsidR="00C40AC8" w:rsidRPr="429B7B44">
        <w:rPr>
          <w:rFonts w:ascii="Garamond" w:hAnsi="Garamond"/>
        </w:rPr>
        <w:t>,</w:t>
      </w:r>
      <w:r w:rsidRPr="429B7B44">
        <w:rPr>
          <w:rFonts w:ascii="Garamond" w:hAnsi="Garamond"/>
        </w:rPr>
        <w:t xml:space="preserve"> a</w:t>
      </w:r>
      <w:r w:rsidR="00C40AC8" w:rsidRPr="429B7B44">
        <w:rPr>
          <w:rFonts w:ascii="Garamond" w:hAnsi="Garamond"/>
        </w:rPr>
        <w:t>d</w:t>
      </w:r>
      <w:r w:rsidRPr="429B7B44">
        <w:rPr>
          <w:rFonts w:ascii="Garamond" w:hAnsi="Garamond"/>
        </w:rPr>
        <w:t xml:space="preserve"> adempiere agli obblighi di informazione, comunicazione e pubblicità di cui all’articolo 34, paragrafo 2, del Regolamento (UE) 241/2021 del Parlamento europeo e del Consiglio del 12 febbraio 2021.</w:t>
      </w:r>
      <w:r w:rsidR="00CB65E4" w:rsidRPr="429B7B44">
        <w:rPr>
          <w:rFonts w:ascii="Garamond" w:hAnsi="Garamond"/>
        </w:rPr>
        <w:t xml:space="preserve"> </w:t>
      </w:r>
      <w:r w:rsidRPr="429B7B44">
        <w:rPr>
          <w:rFonts w:ascii="Garamond" w:hAnsi="Garamond"/>
        </w:rPr>
        <w:t xml:space="preserve">In particolare, le parti indicheranno nella documentazione progettuale che </w:t>
      </w:r>
      <w:r w:rsidR="00935DD1" w:rsidRPr="429B7B44">
        <w:rPr>
          <w:rFonts w:ascii="Garamond" w:hAnsi="Garamond"/>
        </w:rPr>
        <w:t>l’intervento</w:t>
      </w:r>
      <w:r w:rsidRPr="429B7B44">
        <w:rPr>
          <w:rFonts w:ascii="Garamond" w:hAnsi="Garamond"/>
        </w:rPr>
        <w:t xml:space="preserve"> è finanziato nell’ambito del PNRR, con esplicito riferimento al finanziamento da parte dell’Unione europea e all’iniziativa Next Generation EU (utilizzando la frase “finanziato dall’Unione europea – Next</w:t>
      </w:r>
      <w:r w:rsidR="0008457F" w:rsidRPr="429B7B44">
        <w:rPr>
          <w:rFonts w:ascii="Garamond" w:hAnsi="Garamond"/>
        </w:rPr>
        <w:t xml:space="preserve"> </w:t>
      </w:r>
      <w:r w:rsidRPr="429B7B44">
        <w:rPr>
          <w:rFonts w:ascii="Garamond" w:hAnsi="Garamond"/>
        </w:rPr>
        <w:t>Generation EU”), riportando nella documentazione progettuale il relativo emblema dell’Unione europea, e fornendo un’adeguata diffusione e promozione del progetto, anche online, sia web che social, in linea con quanto previsto dalla Strategia di Comunicazione del PNRR, in corso di adozione da parte della all’Amministrazione centrale titolare</w:t>
      </w:r>
      <w:r w:rsidR="00223F1F" w:rsidRPr="429B7B44">
        <w:rPr>
          <w:rFonts w:ascii="Garamond" w:hAnsi="Garamond"/>
        </w:rPr>
        <w:t xml:space="preserve"> di interventi PNRR</w:t>
      </w:r>
      <w:r w:rsidRPr="429B7B44">
        <w:rPr>
          <w:rFonts w:ascii="Garamond" w:hAnsi="Garamond"/>
        </w:rPr>
        <w:t>. A tal fine, le parti provvederanno al tempestivo invio dei relativi materiali all’Amministrazione centrale titolare di interventi PNRR, affinché quest’ultima possa assicurarne senza ritardi la diffusione anche sulla sezione dedicata al PNRR predisposta sul sito del Ministero del lavoro e delle politiche sociali.</w:t>
      </w:r>
    </w:p>
    <w:p w14:paraId="359FEE68" w14:textId="77777777" w:rsidR="002D1B1A" w:rsidRPr="0077142B" w:rsidRDefault="002D1B1A" w:rsidP="00F267A7">
      <w:pPr>
        <w:jc w:val="both"/>
        <w:rPr>
          <w:rFonts w:ascii="Garamond" w:hAnsi="Garamond"/>
        </w:rPr>
      </w:pPr>
    </w:p>
    <w:p w14:paraId="2A6C02D2" w14:textId="77777777" w:rsidR="0067342B" w:rsidRPr="0077142B" w:rsidRDefault="0067342B" w:rsidP="00F267A7">
      <w:pPr>
        <w:jc w:val="center"/>
        <w:rPr>
          <w:rFonts w:ascii="Garamond" w:hAnsi="Garamond"/>
          <w:b/>
          <w:bCs/>
        </w:rPr>
      </w:pPr>
      <w:r w:rsidRPr="0077142B">
        <w:rPr>
          <w:rFonts w:ascii="Garamond" w:hAnsi="Garamond"/>
          <w:b/>
          <w:bCs/>
        </w:rPr>
        <w:t>Articolo 7</w:t>
      </w:r>
    </w:p>
    <w:p w14:paraId="0CB4FA60" w14:textId="77777777" w:rsidR="0067342B" w:rsidRPr="0077142B" w:rsidRDefault="0067342B" w:rsidP="00F267A7">
      <w:pPr>
        <w:jc w:val="center"/>
        <w:rPr>
          <w:rFonts w:ascii="Garamond" w:hAnsi="Garamond"/>
          <w:b/>
          <w:bCs/>
        </w:rPr>
      </w:pPr>
      <w:r w:rsidRPr="0077142B">
        <w:rPr>
          <w:rFonts w:ascii="Garamond" w:hAnsi="Garamond"/>
          <w:b/>
          <w:bCs/>
        </w:rPr>
        <w:t>(Monitoraggio e rendicontazione delle spese)</w:t>
      </w:r>
    </w:p>
    <w:p w14:paraId="15F5DE50" w14:textId="42632492" w:rsidR="0067342B" w:rsidRPr="0077142B" w:rsidRDefault="0067342B" w:rsidP="00F267A7">
      <w:pPr>
        <w:jc w:val="both"/>
        <w:rPr>
          <w:rFonts w:ascii="Garamond" w:hAnsi="Garamond"/>
        </w:rPr>
      </w:pPr>
      <w:r w:rsidRPr="55765628">
        <w:rPr>
          <w:rFonts w:ascii="Garamond" w:hAnsi="Garamond"/>
        </w:rPr>
        <w:t xml:space="preserve">1. </w:t>
      </w:r>
      <w:r>
        <w:rPr>
          <w:rFonts w:ascii="Garamond" w:hAnsi="Garamond"/>
        </w:rPr>
        <w:t>Il Soggetto Attuatore,</w:t>
      </w:r>
      <w:r w:rsidRPr="55765628">
        <w:rPr>
          <w:rFonts w:ascii="Garamond" w:hAnsi="Garamond"/>
        </w:rPr>
        <w:t xml:space="preserve"> secondo le indicazioni disponibili e fornite dal Servizio centrale per il PNRR e l’Amministrazione centrale titolare </w:t>
      </w:r>
      <w:r w:rsidR="00223F1F">
        <w:rPr>
          <w:rFonts w:ascii="Garamond" w:hAnsi="Garamond"/>
        </w:rPr>
        <w:t>di interventi</w:t>
      </w:r>
      <w:r w:rsidR="00223F1F" w:rsidRPr="55765628">
        <w:rPr>
          <w:rFonts w:ascii="Garamond" w:hAnsi="Garamond"/>
        </w:rPr>
        <w:t xml:space="preserve"> </w:t>
      </w:r>
      <w:r w:rsidRPr="55765628">
        <w:rPr>
          <w:rFonts w:ascii="Garamond" w:hAnsi="Garamond"/>
        </w:rPr>
        <w:t>PNRR</w:t>
      </w:r>
      <w:r>
        <w:rPr>
          <w:rFonts w:ascii="Garamond" w:hAnsi="Garamond"/>
        </w:rPr>
        <w:t>,</w:t>
      </w:r>
      <w:r w:rsidRPr="55765628">
        <w:rPr>
          <w:rFonts w:ascii="Garamond" w:hAnsi="Garamond"/>
        </w:rPr>
        <w:t xml:space="preserve"> registra i</w:t>
      </w:r>
      <w:r w:rsidR="00CB65E4">
        <w:rPr>
          <w:rFonts w:ascii="Garamond" w:hAnsi="Garamond"/>
        </w:rPr>
        <w:t xml:space="preserve"> </w:t>
      </w:r>
      <w:r w:rsidRPr="55765628">
        <w:rPr>
          <w:rFonts w:ascii="Garamond" w:hAnsi="Garamond"/>
        </w:rPr>
        <w:t>dati</w:t>
      </w:r>
      <w:r w:rsidR="00CB65E4">
        <w:rPr>
          <w:rFonts w:ascii="Garamond" w:hAnsi="Garamond"/>
        </w:rPr>
        <w:t xml:space="preserve"> </w:t>
      </w:r>
      <w:r>
        <w:rPr>
          <w:rFonts w:ascii="Garamond" w:hAnsi="Garamond"/>
        </w:rPr>
        <w:t xml:space="preserve">e le informazioni </w:t>
      </w:r>
      <w:r w:rsidRPr="55765628">
        <w:rPr>
          <w:rFonts w:ascii="Garamond" w:hAnsi="Garamond"/>
        </w:rPr>
        <w:t>di</w:t>
      </w:r>
      <w:r w:rsidR="00CB65E4">
        <w:rPr>
          <w:rFonts w:ascii="Garamond" w:hAnsi="Garamond"/>
        </w:rPr>
        <w:t xml:space="preserve"> </w:t>
      </w:r>
      <w:r w:rsidRPr="55765628">
        <w:rPr>
          <w:rFonts w:ascii="Garamond" w:hAnsi="Garamond"/>
        </w:rPr>
        <w:t xml:space="preserve">avanzamento </w:t>
      </w:r>
      <w:r w:rsidR="008F6344">
        <w:rPr>
          <w:rFonts w:ascii="Garamond" w:hAnsi="Garamond"/>
        </w:rPr>
        <w:t xml:space="preserve">finanziario, </w:t>
      </w:r>
      <w:r w:rsidRPr="55765628">
        <w:rPr>
          <w:rFonts w:ascii="Garamond" w:hAnsi="Garamond"/>
        </w:rPr>
        <w:t>fisico e procedurale</w:t>
      </w:r>
      <w:r>
        <w:rPr>
          <w:rFonts w:ascii="Garamond" w:hAnsi="Garamond"/>
        </w:rPr>
        <w:t xml:space="preserve"> e inerenti gli “indicatori comuni” nel sistema informativo ReGiS</w:t>
      </w:r>
      <w:r w:rsidRPr="55765628">
        <w:rPr>
          <w:rFonts w:ascii="Garamond" w:hAnsi="Garamond"/>
        </w:rPr>
        <w:t xml:space="preserve">, caricando la documentazione </w:t>
      </w:r>
      <w:r>
        <w:rPr>
          <w:rFonts w:ascii="Garamond" w:hAnsi="Garamond"/>
        </w:rPr>
        <w:t xml:space="preserve">di progetto </w:t>
      </w:r>
      <w:r w:rsidRPr="55765628">
        <w:rPr>
          <w:rFonts w:ascii="Garamond" w:hAnsi="Garamond"/>
        </w:rPr>
        <w:t>inerente il conseguimento</w:t>
      </w:r>
      <w:r w:rsidRPr="55765628">
        <w:rPr>
          <w:rFonts w:ascii="Garamond" w:hAnsi="Garamond"/>
          <w:color w:val="000000" w:themeColor="text1"/>
        </w:rPr>
        <w:t xml:space="preserve"> </w:t>
      </w:r>
      <w:r w:rsidR="00885FE2">
        <w:rPr>
          <w:rFonts w:ascii="Garamond" w:hAnsi="Garamond"/>
        </w:rPr>
        <w:t>dell’Obiettivo generale PNRR</w:t>
      </w:r>
      <w:r w:rsidR="00C654A7">
        <w:rPr>
          <w:rFonts w:ascii="Garamond" w:hAnsi="Garamond"/>
        </w:rPr>
        <w:t xml:space="preserve"> </w:t>
      </w:r>
      <w:bookmarkStart w:id="3" w:name="_Hlk107915702"/>
      <w:r w:rsidRPr="55765628">
        <w:rPr>
          <w:rFonts w:ascii="Garamond" w:hAnsi="Garamond"/>
        </w:rPr>
        <w:t>e conservando la documentazione specifica relativa a ciascuna procedura</w:t>
      </w:r>
      <w:r>
        <w:rPr>
          <w:rFonts w:ascii="Garamond" w:hAnsi="Garamond"/>
        </w:rPr>
        <w:t xml:space="preserve"> in sistemi informativi locali. Ciò</w:t>
      </w:r>
      <w:r w:rsidRPr="55765628">
        <w:rPr>
          <w:rFonts w:ascii="Garamond" w:hAnsi="Garamond"/>
        </w:rPr>
        <w:t xml:space="preserve"> al fine di consentire all’Amministrazione centrale titolare </w:t>
      </w:r>
      <w:r w:rsidR="00223F1F">
        <w:rPr>
          <w:rFonts w:ascii="Garamond" w:hAnsi="Garamond"/>
        </w:rPr>
        <w:t>di interventi</w:t>
      </w:r>
      <w:r w:rsidR="00223F1F" w:rsidRPr="55765628">
        <w:rPr>
          <w:rFonts w:ascii="Garamond" w:hAnsi="Garamond"/>
        </w:rPr>
        <w:t xml:space="preserve"> </w:t>
      </w:r>
      <w:r w:rsidRPr="55765628">
        <w:rPr>
          <w:rFonts w:ascii="Garamond" w:hAnsi="Garamond"/>
        </w:rPr>
        <w:t xml:space="preserve">PNRR l’acquisizione della documentazione necessaria alla rendicontazione </w:t>
      </w:r>
      <w:r w:rsidR="00885FE2">
        <w:rPr>
          <w:rFonts w:ascii="Garamond" w:hAnsi="Garamond"/>
        </w:rPr>
        <w:t>dell’Obiettivo generale PNRR</w:t>
      </w:r>
      <w:r w:rsidR="00C654A7">
        <w:rPr>
          <w:rFonts w:ascii="Garamond" w:hAnsi="Garamond"/>
        </w:rPr>
        <w:t xml:space="preserve"> </w:t>
      </w:r>
      <w:r w:rsidRPr="55765628">
        <w:rPr>
          <w:rFonts w:ascii="Garamond" w:hAnsi="Garamond"/>
        </w:rPr>
        <w:t>e della spesa</w:t>
      </w:r>
      <w:r w:rsidR="00A6586E">
        <w:rPr>
          <w:rFonts w:ascii="Garamond" w:hAnsi="Garamond"/>
        </w:rPr>
        <w:t>,</w:t>
      </w:r>
      <w:r w:rsidRPr="55765628">
        <w:rPr>
          <w:rFonts w:ascii="Garamond" w:hAnsi="Garamond"/>
        </w:rPr>
        <w:t xml:space="preserve"> nonché l’espletamento delle relative verifiche di competenza della medesima Amministrazione centrale titolare </w:t>
      </w:r>
      <w:r w:rsidR="00223F1F">
        <w:rPr>
          <w:rFonts w:ascii="Garamond" w:hAnsi="Garamond"/>
        </w:rPr>
        <w:t>di interventi</w:t>
      </w:r>
      <w:r w:rsidR="00223F1F" w:rsidRPr="55765628">
        <w:rPr>
          <w:rFonts w:ascii="Garamond" w:hAnsi="Garamond"/>
        </w:rPr>
        <w:t xml:space="preserve"> </w:t>
      </w:r>
      <w:r w:rsidRPr="55765628">
        <w:rPr>
          <w:rFonts w:ascii="Garamond" w:hAnsi="Garamond"/>
        </w:rPr>
        <w:t>PNRR.</w:t>
      </w:r>
    </w:p>
    <w:bookmarkEnd w:id="3"/>
    <w:p w14:paraId="145E67B3" w14:textId="07B544FB" w:rsidR="0067342B" w:rsidRPr="0077142B" w:rsidRDefault="0067342B" w:rsidP="00AD3549">
      <w:pPr>
        <w:jc w:val="both"/>
        <w:rPr>
          <w:rFonts w:ascii="Garamond" w:hAnsi="Garamond"/>
        </w:rPr>
      </w:pPr>
      <w:r w:rsidRPr="55765628">
        <w:rPr>
          <w:rFonts w:ascii="Garamond" w:hAnsi="Garamond"/>
        </w:rPr>
        <w:t xml:space="preserve">2. </w:t>
      </w:r>
      <w:r>
        <w:rPr>
          <w:rFonts w:ascii="Garamond" w:hAnsi="Garamond"/>
        </w:rPr>
        <w:t>Il Soggetto Attuatore</w:t>
      </w:r>
      <w:r w:rsidRPr="55765628">
        <w:rPr>
          <w:rFonts w:ascii="Garamond" w:hAnsi="Garamond"/>
        </w:rPr>
        <w:t>, con cadenza</w:t>
      </w:r>
      <w:r>
        <w:rPr>
          <w:rFonts w:ascii="Garamond" w:hAnsi="Garamond"/>
        </w:rPr>
        <w:t xml:space="preserve"> mensile</w:t>
      </w:r>
      <w:r w:rsidRPr="55765628">
        <w:rPr>
          <w:rFonts w:ascii="Garamond" w:hAnsi="Garamond"/>
        </w:rPr>
        <w:t xml:space="preserve">, entro </w:t>
      </w:r>
      <w:r>
        <w:rPr>
          <w:rFonts w:ascii="Garamond" w:hAnsi="Garamond"/>
        </w:rPr>
        <w:t>il 10 di ciascun mese con riferimento al periodo conclusosi con il</w:t>
      </w:r>
      <w:r w:rsidR="008F6344">
        <w:rPr>
          <w:rFonts w:ascii="Garamond" w:hAnsi="Garamond"/>
        </w:rPr>
        <w:t xml:space="preserve"> 31 del</w:t>
      </w:r>
      <w:r>
        <w:rPr>
          <w:rFonts w:ascii="Garamond" w:hAnsi="Garamond"/>
        </w:rPr>
        <w:t xml:space="preserve"> mese precedente, aggiorna</w:t>
      </w:r>
      <w:r w:rsidRPr="55765628">
        <w:rPr>
          <w:rFonts w:ascii="Garamond" w:hAnsi="Garamond"/>
        </w:rPr>
        <w:t xml:space="preserve"> le informazioni necessarie alla rendicontazione </w:t>
      </w:r>
      <w:r w:rsidR="00885FE2">
        <w:rPr>
          <w:rFonts w:ascii="Garamond" w:hAnsi="Garamond"/>
        </w:rPr>
        <w:t xml:space="preserve">dell’Obiettivo generale PNRR </w:t>
      </w:r>
      <w:r>
        <w:rPr>
          <w:rFonts w:ascii="Garamond" w:hAnsi="Garamond"/>
        </w:rPr>
        <w:t>inserite nel Sistema informativo ReGiS</w:t>
      </w:r>
      <w:r w:rsidR="00743B4C">
        <w:rPr>
          <w:rFonts w:ascii="Garamond" w:hAnsi="Garamond"/>
        </w:rPr>
        <w:t>,</w:t>
      </w:r>
      <w:r>
        <w:rPr>
          <w:rFonts w:ascii="Garamond" w:hAnsi="Garamond"/>
        </w:rPr>
        <w:t xml:space="preserve"> </w:t>
      </w:r>
      <w:r w:rsidRPr="55765628">
        <w:rPr>
          <w:rFonts w:ascii="Garamond" w:hAnsi="Garamond"/>
        </w:rPr>
        <w:t xml:space="preserve">nel rispetto dei requisiti di verifica previsti dagli </w:t>
      </w:r>
      <w:r w:rsidRPr="00E8765B">
        <w:rPr>
          <w:rFonts w:ascii="Garamond" w:hAnsi="Garamond"/>
          <w:i/>
          <w:iCs/>
        </w:rPr>
        <w:t>Operational Arrangements</w:t>
      </w:r>
      <w:r w:rsidRPr="55765628">
        <w:rPr>
          <w:rFonts w:ascii="Garamond" w:hAnsi="Garamond"/>
        </w:rPr>
        <w:t>.</w:t>
      </w:r>
      <w:r w:rsidR="00CB65E4">
        <w:rPr>
          <w:rFonts w:ascii="Garamond" w:hAnsi="Garamond"/>
        </w:rPr>
        <w:t xml:space="preserve"> </w:t>
      </w:r>
      <w:r w:rsidRPr="55765628">
        <w:rPr>
          <w:rFonts w:ascii="Garamond" w:hAnsi="Garamond"/>
        </w:rPr>
        <w:t xml:space="preserve">L’Amministrazione centrale </w:t>
      </w:r>
      <w:r w:rsidR="00223F1F">
        <w:rPr>
          <w:rFonts w:ascii="Garamond" w:hAnsi="Garamond"/>
        </w:rPr>
        <w:t>titolare di interventi</w:t>
      </w:r>
      <w:r w:rsidRPr="55765628">
        <w:rPr>
          <w:rFonts w:ascii="Garamond" w:hAnsi="Garamond"/>
        </w:rPr>
        <w:t xml:space="preserve"> PNRR provvede alle verifiche di competenza e, in caso di esito positivo, procede all’invio della rendicontazione al Servizio centrale di coordinamento del PNRR attraverso il sistema informatico</w:t>
      </w:r>
      <w:r>
        <w:rPr>
          <w:rFonts w:ascii="Garamond" w:hAnsi="Garamond"/>
        </w:rPr>
        <w:t xml:space="preserve"> ReGiS</w:t>
      </w:r>
      <w:r w:rsidRPr="55765628">
        <w:rPr>
          <w:rFonts w:ascii="Garamond" w:hAnsi="Garamond"/>
        </w:rPr>
        <w:t xml:space="preserve">. In caso di esito negativo delle verifiche o parzialmente negativo, l’Amministrazione centrale </w:t>
      </w:r>
      <w:r w:rsidR="00223F1F">
        <w:rPr>
          <w:rFonts w:ascii="Garamond" w:hAnsi="Garamond"/>
        </w:rPr>
        <w:t xml:space="preserve">titolare di interventi </w:t>
      </w:r>
      <w:r w:rsidRPr="55765628">
        <w:rPr>
          <w:rFonts w:ascii="Garamond" w:hAnsi="Garamond"/>
        </w:rPr>
        <w:t xml:space="preserve">PNRR procede a comunicare tempestivamente l’esito delle verifiche </w:t>
      </w:r>
      <w:r>
        <w:rPr>
          <w:rFonts w:ascii="Garamond" w:hAnsi="Garamond"/>
        </w:rPr>
        <w:t>al Soggetto Attuatore</w:t>
      </w:r>
      <w:r w:rsidRPr="55765628">
        <w:rPr>
          <w:rFonts w:ascii="Garamond" w:hAnsi="Garamond"/>
        </w:rPr>
        <w:t xml:space="preserve"> chiedendo integrazioni/chiarimenti e assegnando un termine per il riscontro. In caso di inerzia suscettibile di compromettere il conseguimento </w:t>
      </w:r>
      <w:r w:rsidR="00885FE2">
        <w:rPr>
          <w:rFonts w:ascii="Garamond" w:hAnsi="Garamond"/>
        </w:rPr>
        <w:t>dell’Obiettivo generale PNRR</w:t>
      </w:r>
      <w:r w:rsidR="00CE6F1F">
        <w:rPr>
          <w:rFonts w:ascii="Garamond" w:hAnsi="Garamond"/>
        </w:rPr>
        <w:t>,</w:t>
      </w:r>
      <w:r w:rsidRPr="55765628">
        <w:rPr>
          <w:rFonts w:ascii="Garamond" w:hAnsi="Garamond"/>
        </w:rPr>
        <w:t xml:space="preserve"> sarà attivata la procedura stabilita dall’art.</w:t>
      </w:r>
      <w:r w:rsidR="00DF2473">
        <w:rPr>
          <w:rFonts w:ascii="Garamond" w:hAnsi="Garamond"/>
        </w:rPr>
        <w:t xml:space="preserve"> </w:t>
      </w:r>
      <w:r w:rsidRPr="55765628">
        <w:rPr>
          <w:rFonts w:ascii="Garamond" w:hAnsi="Garamond"/>
        </w:rPr>
        <w:t>12 del Decreto</w:t>
      </w:r>
      <w:r w:rsidR="00C61F22">
        <w:rPr>
          <w:rFonts w:ascii="Garamond" w:hAnsi="Garamond"/>
        </w:rPr>
        <w:t xml:space="preserve"> </w:t>
      </w:r>
      <w:r w:rsidRPr="55765628">
        <w:rPr>
          <w:rFonts w:ascii="Garamond" w:hAnsi="Garamond"/>
        </w:rPr>
        <w:t xml:space="preserve">Legge del 31 maggio 2021, n. 77 convertito con modificazioni dalla legge di conversione del 29 luglio 2021, n. 108. </w:t>
      </w:r>
    </w:p>
    <w:p w14:paraId="04BD0031" w14:textId="17999F75" w:rsidR="0067342B" w:rsidRPr="006C7F59" w:rsidRDefault="0067342B" w:rsidP="00E8765B">
      <w:pPr>
        <w:jc w:val="both"/>
        <w:rPr>
          <w:rFonts w:ascii="Garamond" w:eastAsia="Garamond" w:hAnsi="Garamond" w:cs="Garamond"/>
        </w:rPr>
      </w:pPr>
      <w:r w:rsidRPr="779896F3">
        <w:rPr>
          <w:rFonts w:ascii="Garamond" w:hAnsi="Garamond"/>
        </w:rPr>
        <w:t xml:space="preserve">3. Il monitoraggio dell’Amministrazione centrale </w:t>
      </w:r>
      <w:r w:rsidR="00223F1F">
        <w:rPr>
          <w:rFonts w:ascii="Garamond" w:hAnsi="Garamond"/>
        </w:rPr>
        <w:t>titolare di interventi</w:t>
      </w:r>
      <w:r w:rsidRPr="779896F3">
        <w:rPr>
          <w:rFonts w:ascii="Garamond" w:hAnsi="Garamond"/>
        </w:rPr>
        <w:t xml:space="preserve"> PNRR sull’avanzamento </w:t>
      </w:r>
      <w:r w:rsidR="00885FE2">
        <w:rPr>
          <w:rFonts w:ascii="Garamond" w:hAnsi="Garamond"/>
        </w:rPr>
        <w:t>dell’Obiettivo generale PNRR</w:t>
      </w:r>
      <w:r w:rsidRPr="779896F3">
        <w:rPr>
          <w:rFonts w:ascii="Garamond" w:hAnsi="Garamond"/>
        </w:rPr>
        <w:t xml:space="preserve"> ha carattere continuativo e si avvale anche della verifica del rispetto di specifici cronoprogrammi</w:t>
      </w:r>
      <w:r>
        <w:rPr>
          <w:rFonts w:ascii="Garamond" w:hAnsi="Garamond"/>
        </w:rPr>
        <w:t xml:space="preserve"> di Misura e a livello di </w:t>
      </w:r>
      <w:r w:rsidR="000D13A8">
        <w:rPr>
          <w:rFonts w:ascii="Garamond" w:hAnsi="Garamond"/>
        </w:rPr>
        <w:t>S</w:t>
      </w:r>
      <w:r>
        <w:rPr>
          <w:rFonts w:ascii="Garamond" w:hAnsi="Garamond"/>
        </w:rPr>
        <w:t xml:space="preserve">oggetto </w:t>
      </w:r>
      <w:r w:rsidR="000D13A8">
        <w:rPr>
          <w:rFonts w:ascii="Garamond" w:hAnsi="Garamond"/>
        </w:rPr>
        <w:t>A</w:t>
      </w:r>
      <w:r>
        <w:rPr>
          <w:rFonts w:ascii="Garamond" w:hAnsi="Garamond"/>
        </w:rPr>
        <w:t>ttuatore di Cronoprogrammi di progetto (Iter di progetto</w:t>
      </w:r>
      <w:r w:rsidR="00935DD1">
        <w:rPr>
          <w:rFonts w:ascii="Garamond" w:hAnsi="Garamond"/>
        </w:rPr>
        <w:t>, come denominato dalla Circolare RGS n. 27 del 21 giugno 2022</w:t>
      </w:r>
      <w:r>
        <w:rPr>
          <w:rFonts w:ascii="Garamond" w:hAnsi="Garamond"/>
        </w:rPr>
        <w:t>)</w:t>
      </w:r>
      <w:r w:rsidRPr="006C7F59">
        <w:rPr>
          <w:rStyle w:val="normaltextrun"/>
          <w:rFonts w:ascii="Garamond" w:eastAsia="Garamond" w:hAnsi="Garamond" w:cs="Garamond"/>
        </w:rPr>
        <w:t>.</w:t>
      </w:r>
    </w:p>
    <w:p w14:paraId="61BD1A2F" w14:textId="166C08EE" w:rsidR="0067342B" w:rsidRPr="0077142B" w:rsidRDefault="0067342B" w:rsidP="00B75623">
      <w:pPr>
        <w:jc w:val="both"/>
        <w:rPr>
          <w:rFonts w:ascii="Garamond" w:hAnsi="Garamond"/>
        </w:rPr>
      </w:pPr>
      <w:r w:rsidRPr="55765628">
        <w:rPr>
          <w:rFonts w:ascii="Garamond" w:hAnsi="Garamond"/>
        </w:rPr>
        <w:t xml:space="preserve">4. </w:t>
      </w:r>
      <w:r>
        <w:rPr>
          <w:rFonts w:ascii="Garamond" w:hAnsi="Garamond"/>
        </w:rPr>
        <w:t>Il Soggetto Attuatore</w:t>
      </w:r>
      <w:r w:rsidR="004571D8">
        <w:rPr>
          <w:rFonts w:ascii="Garamond" w:hAnsi="Garamond"/>
        </w:rPr>
        <w:t>,</w:t>
      </w:r>
      <w:r w:rsidRPr="55765628">
        <w:rPr>
          <w:rFonts w:ascii="Garamond" w:hAnsi="Garamond"/>
        </w:rPr>
        <w:t xml:space="preserve"> entro il 31 </w:t>
      </w:r>
      <w:r w:rsidR="008F6344">
        <w:rPr>
          <w:rFonts w:ascii="Garamond" w:hAnsi="Garamond"/>
        </w:rPr>
        <w:t xml:space="preserve">luglio </w:t>
      </w:r>
      <w:r w:rsidRPr="55765628">
        <w:rPr>
          <w:rFonts w:ascii="Garamond" w:hAnsi="Garamond"/>
        </w:rPr>
        <w:t>ed entro il 30 novembre di ogni anno</w:t>
      </w:r>
      <w:r>
        <w:rPr>
          <w:rFonts w:ascii="Garamond" w:hAnsi="Garamond"/>
        </w:rPr>
        <w:t>,</w:t>
      </w:r>
      <w:r w:rsidRPr="55765628">
        <w:rPr>
          <w:rFonts w:ascii="Garamond" w:hAnsi="Garamond"/>
        </w:rPr>
        <w:t xml:space="preserve"> </w:t>
      </w:r>
      <w:r>
        <w:rPr>
          <w:rFonts w:ascii="Garamond" w:hAnsi="Garamond"/>
        </w:rPr>
        <w:t xml:space="preserve">previo espletamento delle verifiche di competenza, </w:t>
      </w:r>
      <w:r w:rsidRPr="55765628">
        <w:rPr>
          <w:rFonts w:ascii="Garamond" w:hAnsi="Garamond"/>
        </w:rPr>
        <w:t>predispone il rendiconto delle spese sostenute, corredat</w:t>
      </w:r>
      <w:r>
        <w:rPr>
          <w:rFonts w:ascii="Garamond" w:hAnsi="Garamond"/>
        </w:rPr>
        <w:t>o</w:t>
      </w:r>
      <w:r w:rsidRPr="55765628">
        <w:rPr>
          <w:rFonts w:ascii="Garamond" w:hAnsi="Garamond"/>
        </w:rPr>
        <w:t xml:space="preserve"> dei documenti giustificativi, nel rispetto dei requisiti stabiliti per il PNRR e d</w:t>
      </w:r>
      <w:r>
        <w:rPr>
          <w:rFonts w:ascii="Garamond" w:hAnsi="Garamond"/>
        </w:rPr>
        <w:t>e</w:t>
      </w:r>
      <w:r w:rsidRPr="55765628">
        <w:rPr>
          <w:rFonts w:ascii="Garamond" w:hAnsi="Garamond"/>
        </w:rPr>
        <w:t xml:space="preserve">lla normativa contabile nazionale, nonché, ove applicabile, </w:t>
      </w:r>
      <w:r>
        <w:rPr>
          <w:rFonts w:ascii="Garamond" w:hAnsi="Garamond"/>
        </w:rPr>
        <w:t xml:space="preserve">di quella </w:t>
      </w:r>
      <w:r w:rsidRPr="55765628">
        <w:rPr>
          <w:rFonts w:ascii="Garamond" w:hAnsi="Garamond"/>
        </w:rPr>
        <w:t xml:space="preserve">comunitaria dei fondi strutturali. </w:t>
      </w:r>
      <w:r>
        <w:rPr>
          <w:rFonts w:ascii="Garamond" w:hAnsi="Garamond"/>
        </w:rPr>
        <w:t>I</w:t>
      </w:r>
      <w:r w:rsidRPr="55765628">
        <w:rPr>
          <w:rFonts w:ascii="Garamond" w:hAnsi="Garamond"/>
        </w:rPr>
        <w:t xml:space="preserve">l rendiconto delle spese sarà inviato </w:t>
      </w:r>
      <w:r>
        <w:rPr>
          <w:rFonts w:ascii="Garamond" w:hAnsi="Garamond"/>
        </w:rPr>
        <w:t>dal Soggetto Attuatore</w:t>
      </w:r>
      <w:r w:rsidRPr="55765628">
        <w:rPr>
          <w:rFonts w:ascii="Garamond" w:hAnsi="Garamond"/>
        </w:rPr>
        <w:t xml:space="preserve"> all’Amministrazione centrale </w:t>
      </w:r>
      <w:r w:rsidR="00223F1F">
        <w:rPr>
          <w:rFonts w:ascii="Garamond" w:hAnsi="Garamond"/>
        </w:rPr>
        <w:t>titolare di interventi</w:t>
      </w:r>
      <w:r w:rsidRPr="55765628">
        <w:rPr>
          <w:rFonts w:ascii="Garamond" w:hAnsi="Garamond"/>
        </w:rPr>
        <w:t xml:space="preserve"> il PNRR per il tramite del sistema informatico </w:t>
      </w:r>
      <w:r>
        <w:rPr>
          <w:rFonts w:ascii="Garamond" w:hAnsi="Garamond"/>
        </w:rPr>
        <w:t>(ReGiS)</w:t>
      </w:r>
      <w:r w:rsidRPr="55765628">
        <w:rPr>
          <w:rFonts w:ascii="Garamond" w:hAnsi="Garamond"/>
        </w:rPr>
        <w:t>.</w:t>
      </w:r>
      <w:r w:rsidR="00CB65E4">
        <w:rPr>
          <w:rFonts w:ascii="Garamond" w:hAnsi="Garamond"/>
        </w:rPr>
        <w:t xml:space="preserve"> </w:t>
      </w:r>
      <w:r w:rsidRPr="55765628">
        <w:rPr>
          <w:rFonts w:ascii="Garamond" w:hAnsi="Garamond"/>
        </w:rPr>
        <w:t xml:space="preserve">L’Amministrazione centrale </w:t>
      </w:r>
      <w:r w:rsidR="00223F1F">
        <w:rPr>
          <w:rFonts w:ascii="Garamond" w:hAnsi="Garamond"/>
        </w:rPr>
        <w:t xml:space="preserve">titolare di interventi </w:t>
      </w:r>
      <w:r w:rsidRPr="55765628">
        <w:rPr>
          <w:rFonts w:ascii="Garamond" w:hAnsi="Garamond"/>
        </w:rPr>
        <w:t>PNRR provvede alle verifiche di competenza e in caso di esito positivo procede all’invio della rendicontazione al Servizio centrale di coordinamento del PNRR attraverso il sistema informatico</w:t>
      </w:r>
      <w:r w:rsidR="00937DFE">
        <w:rPr>
          <w:rFonts w:ascii="Garamond" w:hAnsi="Garamond"/>
        </w:rPr>
        <w:t xml:space="preserve"> </w:t>
      </w:r>
      <w:r>
        <w:rPr>
          <w:rFonts w:ascii="Garamond" w:hAnsi="Garamond"/>
        </w:rPr>
        <w:t>ReGiS</w:t>
      </w:r>
      <w:r w:rsidRPr="55765628">
        <w:rPr>
          <w:rFonts w:ascii="Garamond" w:hAnsi="Garamond"/>
        </w:rPr>
        <w:t xml:space="preserve">. In caso di esito negativo delle verifiche o parzialmente negativo, l’Amministrazione centrale </w:t>
      </w:r>
      <w:r w:rsidR="00223F1F">
        <w:rPr>
          <w:rFonts w:ascii="Garamond" w:hAnsi="Garamond"/>
        </w:rPr>
        <w:t xml:space="preserve">titolare di interventi </w:t>
      </w:r>
      <w:r w:rsidRPr="55765628">
        <w:rPr>
          <w:rFonts w:ascii="Garamond" w:hAnsi="Garamond"/>
        </w:rPr>
        <w:t xml:space="preserve">PNRR procede a comunicare tempestivamente l’esito delle verifiche </w:t>
      </w:r>
      <w:r>
        <w:rPr>
          <w:rFonts w:ascii="Garamond" w:hAnsi="Garamond"/>
        </w:rPr>
        <w:t>al Soggetto Attuatore</w:t>
      </w:r>
      <w:r w:rsidRPr="55765628">
        <w:rPr>
          <w:rFonts w:ascii="Garamond" w:hAnsi="Garamond"/>
        </w:rPr>
        <w:t xml:space="preserve"> chiedendo integrazioni/chiarimenti assegnando un termine per il riscontro. Nel caso in cui l’esito negativo totale o parziale del controllo venisse confermato, l’Amministrazione centrale titolare </w:t>
      </w:r>
      <w:r w:rsidR="00223F1F">
        <w:rPr>
          <w:rFonts w:ascii="Garamond" w:hAnsi="Garamond"/>
        </w:rPr>
        <w:t>di interventi</w:t>
      </w:r>
      <w:r w:rsidR="00223F1F" w:rsidRPr="55765628">
        <w:rPr>
          <w:rFonts w:ascii="Garamond" w:hAnsi="Garamond"/>
        </w:rPr>
        <w:t xml:space="preserve"> </w:t>
      </w:r>
      <w:r w:rsidRPr="55765628">
        <w:rPr>
          <w:rFonts w:ascii="Garamond" w:hAnsi="Garamond"/>
        </w:rPr>
        <w:t>PNRR procederà all’attivazione della procedura di recupero delle somme non riconosciute mediante compensazione sul primo trasferimento utile e/o decurtandole dall’erogazione del saldo.</w:t>
      </w:r>
    </w:p>
    <w:p w14:paraId="4EFD507D" w14:textId="152E4276" w:rsidR="00271768" w:rsidRDefault="00FB1948" w:rsidP="00E8765B">
      <w:pPr>
        <w:jc w:val="both"/>
        <w:rPr>
          <w:rStyle w:val="normaltextrun"/>
          <w:rFonts w:ascii="Garamond" w:eastAsia="Garamond" w:hAnsi="Garamond" w:cs="Garamond"/>
          <w:color w:val="000000" w:themeColor="text1"/>
        </w:rPr>
      </w:pPr>
      <w:r>
        <w:rPr>
          <w:rStyle w:val="normaltextrun"/>
          <w:rFonts w:ascii="Garamond" w:eastAsia="Garamond" w:hAnsi="Garamond" w:cs="Garamond"/>
          <w:color w:val="000000" w:themeColor="text1"/>
        </w:rPr>
        <w:t>5</w:t>
      </w:r>
      <w:r w:rsidR="00537C8E">
        <w:rPr>
          <w:rStyle w:val="normaltextrun"/>
          <w:rFonts w:ascii="Garamond" w:eastAsia="Garamond" w:hAnsi="Garamond" w:cs="Garamond"/>
          <w:color w:val="000000" w:themeColor="text1"/>
        </w:rPr>
        <w:t>.</w:t>
      </w:r>
      <w:r w:rsidR="00744A79" w:rsidRPr="00744A79">
        <w:t xml:space="preserve"> </w:t>
      </w:r>
      <w:r w:rsidR="00744A79" w:rsidRPr="00744A79">
        <w:rPr>
          <w:rStyle w:val="normaltextrun"/>
          <w:rFonts w:ascii="Garamond" w:eastAsia="Garamond" w:hAnsi="Garamond" w:cs="Garamond"/>
          <w:color w:val="000000" w:themeColor="text1"/>
        </w:rPr>
        <w:t xml:space="preserve">Il </w:t>
      </w:r>
      <w:r w:rsidR="00C30D76">
        <w:rPr>
          <w:rStyle w:val="normaltextrun"/>
          <w:rFonts w:ascii="Garamond" w:eastAsia="Garamond" w:hAnsi="Garamond" w:cs="Garamond"/>
          <w:color w:val="000000" w:themeColor="text1"/>
        </w:rPr>
        <w:t>S</w:t>
      </w:r>
      <w:r w:rsidR="00744A79" w:rsidRPr="00744A79">
        <w:rPr>
          <w:rStyle w:val="normaltextrun"/>
          <w:rFonts w:ascii="Garamond" w:eastAsia="Garamond" w:hAnsi="Garamond" w:cs="Garamond"/>
          <w:color w:val="000000" w:themeColor="text1"/>
        </w:rPr>
        <w:t xml:space="preserve">oggetto </w:t>
      </w:r>
      <w:r w:rsidR="000D13A8">
        <w:rPr>
          <w:rStyle w:val="normaltextrun"/>
          <w:rFonts w:ascii="Garamond" w:eastAsia="Garamond" w:hAnsi="Garamond" w:cs="Garamond"/>
          <w:color w:val="000000" w:themeColor="text1"/>
        </w:rPr>
        <w:t>A</w:t>
      </w:r>
      <w:r w:rsidR="00744A79" w:rsidRPr="00744A79">
        <w:rPr>
          <w:rStyle w:val="normaltextrun"/>
          <w:rFonts w:ascii="Garamond" w:eastAsia="Garamond" w:hAnsi="Garamond" w:cs="Garamond"/>
          <w:color w:val="000000" w:themeColor="text1"/>
        </w:rPr>
        <w:t>ttuatore è responsabile della corretta alimentazione sul sistema informativo Re</w:t>
      </w:r>
      <w:r w:rsidR="0067342B">
        <w:rPr>
          <w:rStyle w:val="normaltextrun"/>
          <w:rFonts w:ascii="Garamond" w:eastAsia="Garamond" w:hAnsi="Garamond" w:cs="Garamond"/>
          <w:color w:val="000000" w:themeColor="text1"/>
        </w:rPr>
        <w:t>G</w:t>
      </w:r>
      <w:r w:rsidR="00744A79" w:rsidRPr="00744A79">
        <w:rPr>
          <w:rStyle w:val="normaltextrun"/>
          <w:rFonts w:ascii="Garamond" w:eastAsia="Garamond" w:hAnsi="Garamond" w:cs="Garamond"/>
          <w:color w:val="000000" w:themeColor="text1"/>
        </w:rPr>
        <w:t>i</w:t>
      </w:r>
      <w:r w:rsidR="0067342B">
        <w:rPr>
          <w:rStyle w:val="normaltextrun"/>
          <w:rFonts w:ascii="Garamond" w:eastAsia="Garamond" w:hAnsi="Garamond" w:cs="Garamond"/>
          <w:color w:val="000000" w:themeColor="text1"/>
        </w:rPr>
        <w:t>S</w:t>
      </w:r>
      <w:r w:rsidR="00F353EE">
        <w:rPr>
          <w:rStyle w:val="normaltextrun"/>
          <w:rFonts w:ascii="Garamond" w:eastAsia="Garamond" w:hAnsi="Garamond" w:cs="Garamond"/>
          <w:color w:val="000000" w:themeColor="text1"/>
        </w:rPr>
        <w:t xml:space="preserve"> </w:t>
      </w:r>
      <w:r w:rsidR="00B50200">
        <w:rPr>
          <w:rStyle w:val="normaltextrun"/>
          <w:rFonts w:ascii="Garamond" w:eastAsia="Garamond" w:hAnsi="Garamond" w:cs="Garamond"/>
          <w:color w:val="000000" w:themeColor="text1"/>
        </w:rPr>
        <w:t>-</w:t>
      </w:r>
      <w:r w:rsidR="00744A79" w:rsidRPr="00744A79">
        <w:rPr>
          <w:rStyle w:val="normaltextrun"/>
          <w:rFonts w:ascii="Garamond" w:eastAsia="Garamond" w:hAnsi="Garamond" w:cs="Garamond"/>
          <w:color w:val="000000" w:themeColor="text1"/>
        </w:rPr>
        <w:t>di cui al comma 1043, art. 1, Legge 178/2020-</w:t>
      </w:r>
      <w:r w:rsidR="00B50200">
        <w:rPr>
          <w:rStyle w:val="normaltextrun"/>
          <w:rFonts w:ascii="Garamond" w:eastAsia="Garamond" w:hAnsi="Garamond" w:cs="Garamond"/>
          <w:color w:val="000000" w:themeColor="text1"/>
        </w:rPr>
        <w:t xml:space="preserve"> </w:t>
      </w:r>
      <w:r w:rsidR="00744A79" w:rsidRPr="00744A79">
        <w:rPr>
          <w:rStyle w:val="normaltextrun"/>
          <w:rFonts w:ascii="Garamond" w:eastAsia="Garamond" w:hAnsi="Garamond" w:cs="Garamond"/>
          <w:color w:val="000000" w:themeColor="text1"/>
        </w:rPr>
        <w:t>dei dati relativi agli “indicatori comuni” di cui all’art. 29 del Regolamento</w:t>
      </w:r>
      <w:r w:rsidR="00611E8E">
        <w:rPr>
          <w:rStyle w:val="normaltextrun"/>
          <w:rFonts w:ascii="Garamond" w:eastAsia="Garamond" w:hAnsi="Garamond" w:cs="Garamond"/>
          <w:color w:val="000000" w:themeColor="text1"/>
        </w:rPr>
        <w:t xml:space="preserve"> </w:t>
      </w:r>
      <w:r w:rsidR="00744A79" w:rsidRPr="00744A79">
        <w:rPr>
          <w:rStyle w:val="normaltextrun"/>
          <w:rFonts w:ascii="Garamond" w:eastAsia="Garamond" w:hAnsi="Garamond" w:cs="Garamond"/>
          <w:color w:val="000000" w:themeColor="text1"/>
        </w:rPr>
        <w:t>UE</w:t>
      </w:r>
      <w:r w:rsidR="00611E8E">
        <w:rPr>
          <w:rStyle w:val="normaltextrun"/>
          <w:rFonts w:ascii="Garamond" w:eastAsia="Garamond" w:hAnsi="Garamond" w:cs="Garamond"/>
          <w:color w:val="000000" w:themeColor="text1"/>
        </w:rPr>
        <w:t xml:space="preserve"> </w:t>
      </w:r>
      <w:r w:rsidR="00744A79" w:rsidRPr="00744A79">
        <w:rPr>
          <w:rStyle w:val="normaltextrun"/>
          <w:rFonts w:ascii="Garamond" w:eastAsia="Garamond" w:hAnsi="Garamond" w:cs="Garamond"/>
          <w:color w:val="000000" w:themeColor="text1"/>
        </w:rPr>
        <w:t>2021/241, così</w:t>
      </w:r>
      <w:r w:rsidR="00611E8E">
        <w:rPr>
          <w:rStyle w:val="normaltextrun"/>
          <w:rFonts w:ascii="Garamond" w:eastAsia="Garamond" w:hAnsi="Garamond" w:cs="Garamond"/>
          <w:color w:val="000000" w:themeColor="text1"/>
        </w:rPr>
        <w:t xml:space="preserve"> </w:t>
      </w:r>
      <w:r w:rsidR="00744A79" w:rsidRPr="00744A79">
        <w:rPr>
          <w:rStyle w:val="normaltextrun"/>
          <w:rFonts w:ascii="Garamond" w:eastAsia="Garamond" w:hAnsi="Garamond" w:cs="Garamond"/>
          <w:color w:val="000000" w:themeColor="text1"/>
        </w:rPr>
        <w:t>come definiti dal Regolamento Delegato 2021/2106 della Commissione europea</w:t>
      </w:r>
      <w:r w:rsidR="00611E8E">
        <w:rPr>
          <w:rStyle w:val="normaltextrun"/>
          <w:rFonts w:ascii="Garamond" w:eastAsia="Garamond" w:hAnsi="Garamond" w:cs="Garamond"/>
          <w:color w:val="000000" w:themeColor="text1"/>
        </w:rPr>
        <w:t xml:space="preserve"> </w:t>
      </w:r>
      <w:r w:rsidR="00744A79" w:rsidRPr="00744A79">
        <w:rPr>
          <w:rStyle w:val="normaltextrun"/>
          <w:rFonts w:ascii="Garamond" w:eastAsia="Garamond" w:hAnsi="Garamond" w:cs="Garamond"/>
          <w:color w:val="000000" w:themeColor="text1"/>
        </w:rPr>
        <w:t>del 28 settembre 2021.</w:t>
      </w:r>
      <w:r w:rsidR="00271768">
        <w:rPr>
          <w:rStyle w:val="normaltextrun"/>
          <w:rFonts w:ascii="Garamond" w:eastAsia="Garamond" w:hAnsi="Garamond" w:cs="Garamond"/>
          <w:color w:val="000000" w:themeColor="text1"/>
        </w:rPr>
        <w:t xml:space="preserve"> </w:t>
      </w:r>
      <w:r w:rsidR="00744A79" w:rsidRPr="00744A79">
        <w:rPr>
          <w:rStyle w:val="normaltextrun"/>
          <w:rFonts w:ascii="Garamond" w:eastAsia="Garamond" w:hAnsi="Garamond" w:cs="Garamond"/>
          <w:color w:val="000000" w:themeColor="text1"/>
        </w:rPr>
        <w:t>Gli indicatori comuni sono:</w:t>
      </w:r>
    </w:p>
    <w:p w14:paraId="15A24FE3" w14:textId="7C199471" w:rsidR="00F1450A" w:rsidRPr="00C61F22" w:rsidRDefault="00E07F97" w:rsidP="00E8765B">
      <w:pPr>
        <w:pStyle w:val="Paragrafoelenco"/>
        <w:numPr>
          <w:ilvl w:val="0"/>
          <w:numId w:val="8"/>
        </w:numPr>
        <w:jc w:val="both"/>
        <w:rPr>
          <w:rStyle w:val="normaltextrun"/>
          <w:rFonts w:ascii="Garamond" w:eastAsia="Garamond" w:hAnsi="Garamond" w:cs="Garamond"/>
          <w:color w:val="000000" w:themeColor="text1"/>
        </w:rPr>
      </w:pPr>
      <w:r w:rsidRPr="00C61F22">
        <w:rPr>
          <w:rStyle w:val="normaltextrun"/>
          <w:rFonts w:ascii="Garamond" w:eastAsia="Garamond" w:hAnsi="Garamond" w:cs="Garamond"/>
          <w:color w:val="000000" w:themeColor="text1"/>
        </w:rPr>
        <w:t>Indicatore comune n. 14: n</w:t>
      </w:r>
      <w:r w:rsidR="003E6BE7" w:rsidRPr="00C61F22">
        <w:rPr>
          <w:rStyle w:val="normaltextrun"/>
          <w:rFonts w:ascii="Garamond" w:eastAsia="Garamond" w:hAnsi="Garamond" w:cs="Garamond"/>
          <w:color w:val="000000" w:themeColor="text1"/>
        </w:rPr>
        <w:t>umero di giovani di età compresa tra i 15 e i 29 anni che ricevono sostegno (donne; uomini)</w:t>
      </w:r>
      <w:r w:rsidR="00F1450A" w:rsidRPr="00C61F22">
        <w:rPr>
          <w:rStyle w:val="normaltextrun"/>
          <w:rFonts w:ascii="Garamond" w:eastAsia="Garamond" w:hAnsi="Garamond" w:cs="Garamond"/>
          <w:color w:val="000000" w:themeColor="text1"/>
        </w:rPr>
        <w:t>;</w:t>
      </w:r>
    </w:p>
    <w:p w14:paraId="6E147510" w14:textId="7BB908F6" w:rsidR="003A4A4A" w:rsidRPr="00C61F22" w:rsidRDefault="00114012" w:rsidP="00E8765B">
      <w:pPr>
        <w:pStyle w:val="Paragrafoelenco"/>
        <w:numPr>
          <w:ilvl w:val="0"/>
          <w:numId w:val="8"/>
        </w:numPr>
        <w:jc w:val="both"/>
        <w:rPr>
          <w:rFonts w:ascii="Garamond" w:hAnsi="Garamond"/>
          <w:b/>
          <w:bCs/>
        </w:rPr>
      </w:pPr>
      <w:r w:rsidRPr="00C61F22">
        <w:rPr>
          <w:rStyle w:val="normaltextrun"/>
          <w:rFonts w:ascii="Garamond" w:eastAsia="Garamond" w:hAnsi="Garamond" w:cs="Garamond"/>
          <w:color w:val="000000" w:themeColor="text1"/>
        </w:rPr>
        <w:t>Indicatore comune n. 10: n</w:t>
      </w:r>
      <w:r w:rsidR="003E6BE7" w:rsidRPr="00C61F22">
        <w:rPr>
          <w:rStyle w:val="normaltextrun"/>
          <w:rFonts w:ascii="Garamond" w:eastAsia="Garamond" w:hAnsi="Garamond" w:cs="Garamond"/>
          <w:color w:val="000000" w:themeColor="text1"/>
        </w:rPr>
        <w:t>umero di partecipanti in un percorso di istruzione o di formazione (donne; uomini) (età 0-17; 18-29; 30-54; 54&lt;).</w:t>
      </w:r>
    </w:p>
    <w:p w14:paraId="0C0C77EF" w14:textId="77777777" w:rsidR="003E6BE7" w:rsidRPr="0077142B" w:rsidRDefault="003E6BE7" w:rsidP="00B75623">
      <w:pPr>
        <w:jc w:val="center"/>
        <w:rPr>
          <w:rFonts w:ascii="Garamond" w:hAnsi="Garamond"/>
          <w:b/>
          <w:bCs/>
        </w:rPr>
      </w:pPr>
    </w:p>
    <w:p w14:paraId="479A0A52" w14:textId="77777777" w:rsidR="00DB6020" w:rsidRPr="0077142B" w:rsidRDefault="00DB6020" w:rsidP="00B75623">
      <w:pPr>
        <w:jc w:val="center"/>
        <w:rPr>
          <w:rFonts w:ascii="Garamond" w:hAnsi="Garamond"/>
          <w:b/>
          <w:bCs/>
        </w:rPr>
      </w:pPr>
      <w:r w:rsidRPr="0077142B">
        <w:rPr>
          <w:rFonts w:ascii="Garamond" w:hAnsi="Garamond"/>
          <w:b/>
          <w:bCs/>
        </w:rPr>
        <w:t>Articolo 8</w:t>
      </w:r>
    </w:p>
    <w:p w14:paraId="7B8AD1FD" w14:textId="57275D46" w:rsidR="00DB6020" w:rsidRDefault="00DB6020" w:rsidP="00B75623">
      <w:pPr>
        <w:jc w:val="center"/>
        <w:rPr>
          <w:rFonts w:ascii="Garamond" w:hAnsi="Garamond"/>
          <w:b/>
          <w:bCs/>
        </w:rPr>
      </w:pPr>
      <w:r w:rsidRPr="0077142B">
        <w:rPr>
          <w:rFonts w:ascii="Garamond" w:hAnsi="Garamond"/>
          <w:b/>
          <w:bCs/>
        </w:rPr>
        <w:t>(Oneri finanziari</w:t>
      </w:r>
      <w:r w:rsidR="000E24F6">
        <w:rPr>
          <w:rFonts w:ascii="Garamond" w:hAnsi="Garamond"/>
          <w:b/>
          <w:bCs/>
        </w:rPr>
        <w:t>, assistenza tecnica</w:t>
      </w:r>
      <w:r w:rsidRPr="0077142B">
        <w:rPr>
          <w:rFonts w:ascii="Garamond" w:hAnsi="Garamond"/>
          <w:b/>
          <w:bCs/>
        </w:rPr>
        <w:t xml:space="preserve"> e modalità di erogazione del contributo)</w:t>
      </w:r>
    </w:p>
    <w:p w14:paraId="062993E8" w14:textId="77777777" w:rsidR="00BF6AC2" w:rsidRDefault="00913BD7" w:rsidP="00D64458">
      <w:pPr>
        <w:jc w:val="both"/>
        <w:rPr>
          <w:rFonts w:ascii="Garamond" w:hAnsi="Garamond"/>
        </w:rPr>
      </w:pPr>
      <w:r w:rsidRPr="55765628">
        <w:rPr>
          <w:rFonts w:ascii="Garamond" w:hAnsi="Garamond"/>
        </w:rPr>
        <w:t xml:space="preserve">1. Le attività oggetto del presente accordo verranno realizzate con le reciproche risorse interne delle parti contraenti, dotate di conoscenze e competenze specifiche nel settore di riferimento. </w:t>
      </w:r>
    </w:p>
    <w:p w14:paraId="4BD50351" w14:textId="67FD9427" w:rsidR="00C33A4A" w:rsidRDefault="00C33A4A" w:rsidP="00D64458">
      <w:pPr>
        <w:jc w:val="both"/>
        <w:rPr>
          <w:rFonts w:ascii="Garamond" w:hAnsi="Garamond"/>
        </w:rPr>
      </w:pPr>
      <w:r w:rsidRPr="00C61F22">
        <w:rPr>
          <w:rFonts w:ascii="Garamond" w:hAnsi="Garamond"/>
        </w:rPr>
        <w:t>L’avvio delle attività coincide con l’approvazione, da parte della Direzione Generale delle Politiche Attive del Lavoro, del Documento di Programmazione Regionale dell’offerta formativa “Sistema Duale”.</w:t>
      </w:r>
    </w:p>
    <w:p w14:paraId="7E4B5EDD" w14:textId="7D694DA7" w:rsidR="00913BD7" w:rsidRDefault="00913BD7" w:rsidP="00D64458">
      <w:pPr>
        <w:jc w:val="both"/>
        <w:rPr>
          <w:rFonts w:ascii="Garamond" w:hAnsi="Garamond"/>
        </w:rPr>
      </w:pPr>
      <w:r w:rsidRPr="55765628">
        <w:rPr>
          <w:rFonts w:ascii="Garamond" w:hAnsi="Garamond"/>
        </w:rPr>
        <w:t>Le movimentazioni finanziarie relative all’effettivo svolgimento delle attività progettuali si configurano solo come ristoro delle eventuali spese effettivamente sostenute per le attività svolte.</w:t>
      </w:r>
    </w:p>
    <w:p w14:paraId="2C832D1D" w14:textId="64A7248C" w:rsidR="00913BD7" w:rsidRDefault="00913BD7" w:rsidP="004D256D">
      <w:pPr>
        <w:jc w:val="both"/>
        <w:rPr>
          <w:rFonts w:ascii="Garamond" w:hAnsi="Garamond"/>
        </w:rPr>
      </w:pPr>
      <w:r w:rsidRPr="55765628">
        <w:rPr>
          <w:rFonts w:ascii="Garamond" w:hAnsi="Garamond"/>
        </w:rPr>
        <w:t xml:space="preserve">2. L’Amministrazione centrale </w:t>
      </w:r>
      <w:r w:rsidR="00223F1F">
        <w:rPr>
          <w:rFonts w:ascii="Garamond" w:hAnsi="Garamond"/>
        </w:rPr>
        <w:t>titolare di interventi</w:t>
      </w:r>
      <w:r w:rsidR="00FB31C2">
        <w:rPr>
          <w:rFonts w:ascii="Garamond" w:hAnsi="Garamond"/>
        </w:rPr>
        <w:t xml:space="preserve"> </w:t>
      </w:r>
      <w:r w:rsidRPr="55765628">
        <w:rPr>
          <w:rFonts w:ascii="Garamond" w:hAnsi="Garamond"/>
        </w:rPr>
        <w:t xml:space="preserve">PNRR mette a disposizione dei </w:t>
      </w:r>
      <w:r w:rsidR="00935DD1">
        <w:rPr>
          <w:rFonts w:ascii="Garamond" w:hAnsi="Garamond"/>
        </w:rPr>
        <w:t>S</w:t>
      </w:r>
      <w:r w:rsidRPr="55765628">
        <w:rPr>
          <w:rFonts w:ascii="Garamond" w:hAnsi="Garamond"/>
        </w:rPr>
        <w:t xml:space="preserve">oggetti </w:t>
      </w:r>
      <w:r w:rsidR="00935DD1">
        <w:rPr>
          <w:rFonts w:ascii="Garamond" w:hAnsi="Garamond"/>
        </w:rPr>
        <w:t>A</w:t>
      </w:r>
      <w:r w:rsidRPr="55765628">
        <w:rPr>
          <w:rFonts w:ascii="Garamond" w:hAnsi="Garamond"/>
        </w:rPr>
        <w:t xml:space="preserve">ttuatori i servizi di Invitalia e </w:t>
      </w:r>
      <w:r w:rsidR="00520D8A">
        <w:rPr>
          <w:rFonts w:ascii="Garamond" w:hAnsi="Garamond"/>
        </w:rPr>
        <w:t xml:space="preserve">di </w:t>
      </w:r>
      <w:r w:rsidRPr="55765628">
        <w:rPr>
          <w:rFonts w:ascii="Garamond" w:hAnsi="Garamond"/>
        </w:rPr>
        <w:t xml:space="preserve">Cassa Depositi e </w:t>
      </w:r>
      <w:r w:rsidR="008B5A52">
        <w:rPr>
          <w:rFonts w:ascii="Garamond" w:hAnsi="Garamond"/>
        </w:rPr>
        <w:t>P</w:t>
      </w:r>
      <w:r w:rsidRPr="55765628">
        <w:rPr>
          <w:rFonts w:ascii="Garamond" w:hAnsi="Garamond"/>
        </w:rPr>
        <w:t>restiti</w:t>
      </w:r>
      <w:r w:rsidR="00104C68">
        <w:rPr>
          <w:rFonts w:ascii="Garamond" w:hAnsi="Garamond"/>
        </w:rPr>
        <w:t>,</w:t>
      </w:r>
      <w:r w:rsidRPr="55765628">
        <w:rPr>
          <w:rFonts w:ascii="Garamond" w:hAnsi="Garamond"/>
        </w:rPr>
        <w:t xml:space="preserve"> in conformità ai Piani da queste presentate nel rispetto delle previsioni della Circolare MEF RGS n. 6 del 24 gennaio 2022.</w:t>
      </w:r>
    </w:p>
    <w:p w14:paraId="3F666982" w14:textId="449FCD51" w:rsidR="00913BD7" w:rsidRDefault="00913BD7" w:rsidP="004D256D">
      <w:pPr>
        <w:jc w:val="both"/>
      </w:pPr>
      <w:r w:rsidRPr="7D979DFE">
        <w:rPr>
          <w:rFonts w:ascii="Garamond" w:hAnsi="Garamond"/>
        </w:rPr>
        <w:t xml:space="preserve">3. Le parti inoltre possono avvalersi di quanto previsto ex art.11 </w:t>
      </w:r>
      <w:r w:rsidR="00935DD1">
        <w:rPr>
          <w:rFonts w:ascii="Garamond" w:hAnsi="Garamond"/>
        </w:rPr>
        <w:t>Decreto Legge</w:t>
      </w:r>
      <w:r w:rsidRPr="7D979DFE">
        <w:rPr>
          <w:rFonts w:ascii="Garamond" w:hAnsi="Garamond"/>
        </w:rPr>
        <w:t>. 77 del 2021</w:t>
      </w:r>
      <w:r w:rsidR="002D47E1">
        <w:rPr>
          <w:rFonts w:ascii="Garamond" w:hAnsi="Garamond"/>
        </w:rPr>
        <w:t>,</w:t>
      </w:r>
      <w:r w:rsidRPr="7D979DFE">
        <w:rPr>
          <w:rFonts w:ascii="Garamond" w:hAnsi="Garamond"/>
        </w:rPr>
        <w:t xml:space="preserve"> ai sensi del quale “</w:t>
      </w:r>
      <w:r w:rsidRPr="7D979DFE">
        <w:rPr>
          <w:rFonts w:ascii="Garamond" w:hAnsi="Garamond"/>
          <w:i/>
          <w:iCs/>
        </w:rPr>
        <w:t>per aumentare l'efficacia e l'efficienza dell'attività di approvvigionamento e garantire una rapida attuazione delle progettualità del PNRR e degli altri interventi ad esso collegati, ivi compresi i programmi cofinanziati dall'Unione europea per il periodo 2021/2027, la società Consip S.p.A. mette a disposizione delle pubbliche amministrazioni specifici contratti, accordi quadro e servizi di supporto tecnico. Per le medesime finalità, la società Consip S.p.A. realizza un programma di informazione, formazione e tutoraggio nella gestione delle specifiche procedure di acquisto e di progettualità per l'evoluzione del Sistema Nazionale di e-Procurement e il rafforzamento della capacità amministrativa e tecnica delle pubbliche amministrazioni. La società Consip S.p.A. si coordina con le centrali di committenza regionali per le attività degli enti territoriali di competenza. Le disposizioni del presente articolo trovano applicazione anche per le acquisizioni di beni e servizi informatici e di connettività effettuati dalla Sogei S.p.A., per la realizzazione e implementazione dei servizi delle pubbliche amministrazioni affidatarie in</w:t>
      </w:r>
      <w:r w:rsidR="0065510F">
        <w:rPr>
          <w:rFonts w:ascii="Garamond" w:hAnsi="Garamond"/>
          <w:i/>
          <w:iCs/>
        </w:rPr>
        <w:t xml:space="preserve"> </w:t>
      </w:r>
      <w:r w:rsidRPr="7D979DFE">
        <w:rPr>
          <w:rFonts w:ascii="Garamond" w:hAnsi="Garamond"/>
          <w:i/>
          <w:iCs/>
        </w:rPr>
        <w:t>ottemperanza a specifiche disposizioni normative o regolamentari, nonché' per la realizzazione delle attività di cui all'articolo33-septiesdel decreto-legge 18 ottobre 2012, n. 179, convertito, con modificazioni, dalla legge 17 dicembre 2012, n. 221, le cui procedure di affidamento sono poste in essere dalla Consip S.p.A. ai sensi dell'articolo 4, comma 3-ter, del decreto-legge 6 luglio 2012, n. 95,convertito, con modificazioni, dalla legge 7 agosto 2012, n. 135. Per realizzare le finalità di cui al presente articolo, il Ministero dell'economia e delle finanze stipula con la società Consip S.p.A. un apposito disciplinare, nel limite complessivo di</w:t>
      </w:r>
      <w:r w:rsidR="0065510F">
        <w:rPr>
          <w:rFonts w:ascii="Garamond" w:hAnsi="Garamond"/>
          <w:i/>
          <w:iCs/>
        </w:rPr>
        <w:t xml:space="preserve"> </w:t>
      </w:r>
      <w:r w:rsidRPr="7D979DFE">
        <w:rPr>
          <w:rFonts w:ascii="Garamond" w:hAnsi="Garamond"/>
          <w:i/>
          <w:iCs/>
        </w:rPr>
        <w:t>spesa di 40 milioni di euro per gli anni dal 2021 al 2026. A tal fine autorizzata la spesa di 8 milioni di euro per ciascuno degli anni dal 2022 al 2026”</w:t>
      </w:r>
      <w:r w:rsidRPr="7D979DFE">
        <w:rPr>
          <w:rFonts w:ascii="Garamond" w:hAnsi="Garamond"/>
        </w:rPr>
        <w:t>.</w:t>
      </w:r>
    </w:p>
    <w:p w14:paraId="56EA6E00" w14:textId="7C59F6D9" w:rsidR="00913BD7" w:rsidRDefault="00913BD7" w:rsidP="004D256D">
      <w:pPr>
        <w:jc w:val="both"/>
        <w:rPr>
          <w:rFonts w:ascii="Garamond" w:hAnsi="Garamond"/>
        </w:rPr>
      </w:pPr>
      <w:r w:rsidRPr="40F0DAC6">
        <w:rPr>
          <w:rFonts w:ascii="Garamond" w:hAnsi="Garamond"/>
        </w:rPr>
        <w:t>4. Le parti possono avvalersi inoltre di quanto previsto dall’art.</w:t>
      </w:r>
      <w:r w:rsidR="006507FD">
        <w:rPr>
          <w:rFonts w:ascii="Garamond" w:hAnsi="Garamond"/>
        </w:rPr>
        <w:t xml:space="preserve"> </w:t>
      </w:r>
      <w:r w:rsidRPr="40F0DAC6">
        <w:rPr>
          <w:rFonts w:ascii="Garamond" w:hAnsi="Garamond"/>
        </w:rPr>
        <w:t xml:space="preserve">9 comma 1 del </w:t>
      </w:r>
      <w:r w:rsidR="00935DD1">
        <w:rPr>
          <w:rFonts w:ascii="Garamond" w:hAnsi="Garamond"/>
        </w:rPr>
        <w:t>Decreto Legge</w:t>
      </w:r>
      <w:r w:rsidRPr="40F0DAC6">
        <w:rPr>
          <w:rFonts w:ascii="Garamond" w:hAnsi="Garamond"/>
        </w:rPr>
        <w:t xml:space="preserve">152/2021 che stabilisce </w:t>
      </w:r>
      <w:r w:rsidRPr="40F0DAC6">
        <w:rPr>
          <w:rFonts w:ascii="Garamond" w:hAnsi="Garamond"/>
          <w:i/>
          <w:iCs/>
        </w:rPr>
        <w:t>“(…) Le</w:t>
      </w:r>
      <w:r w:rsidR="00935DD1">
        <w:rPr>
          <w:rFonts w:ascii="Garamond" w:hAnsi="Garamond"/>
          <w:i/>
          <w:iCs/>
        </w:rPr>
        <w:t xml:space="preserve"> </w:t>
      </w:r>
      <w:r w:rsidRPr="40F0DAC6">
        <w:rPr>
          <w:rFonts w:ascii="Garamond" w:hAnsi="Garamond"/>
          <w:i/>
          <w:iCs/>
        </w:rPr>
        <w:t>risorse dei</w:t>
      </w:r>
      <w:r w:rsidR="00935DD1">
        <w:rPr>
          <w:rFonts w:ascii="Garamond" w:hAnsi="Garamond"/>
          <w:i/>
          <w:iCs/>
        </w:rPr>
        <w:t xml:space="preserve"> </w:t>
      </w:r>
      <w:r w:rsidRPr="40F0DAC6">
        <w:rPr>
          <w:rFonts w:ascii="Garamond" w:hAnsi="Garamond"/>
          <w:i/>
          <w:iCs/>
        </w:rPr>
        <w:t>programmi</w:t>
      </w:r>
      <w:r w:rsidR="00935DD1">
        <w:rPr>
          <w:rFonts w:ascii="Garamond" w:hAnsi="Garamond"/>
          <w:i/>
          <w:iCs/>
        </w:rPr>
        <w:t xml:space="preserve"> </w:t>
      </w:r>
      <w:bookmarkStart w:id="4" w:name="_Int_zhNUYFzp"/>
      <w:r w:rsidRPr="40F0DAC6">
        <w:rPr>
          <w:rFonts w:ascii="Garamond" w:hAnsi="Garamond"/>
          <w:i/>
          <w:iCs/>
        </w:rPr>
        <w:t>operativi</w:t>
      </w:r>
      <w:r w:rsidR="00935DD1">
        <w:rPr>
          <w:rFonts w:ascii="Garamond" w:hAnsi="Garamond"/>
          <w:i/>
          <w:iCs/>
        </w:rPr>
        <w:t xml:space="preserve"> </w:t>
      </w:r>
      <w:r w:rsidRPr="40F0DAC6">
        <w:rPr>
          <w:rFonts w:ascii="Garamond" w:hAnsi="Garamond"/>
          <w:i/>
          <w:iCs/>
        </w:rPr>
        <w:t>complementari</w:t>
      </w:r>
      <w:bookmarkEnd w:id="4"/>
      <w:r w:rsidR="00935DD1">
        <w:rPr>
          <w:rFonts w:ascii="Garamond" w:hAnsi="Garamond"/>
          <w:b/>
          <w:bCs/>
          <w:i/>
          <w:iCs/>
        </w:rPr>
        <w:t xml:space="preserve"> </w:t>
      </w:r>
      <w:r w:rsidRPr="40F0DAC6">
        <w:rPr>
          <w:rFonts w:ascii="Garamond" w:hAnsi="Garamond"/>
          <w:i/>
          <w:iCs/>
        </w:rPr>
        <w:t>possono essere utilizzate anche per il supporto tecnico</w:t>
      </w:r>
      <w:r w:rsidR="00935DD1">
        <w:rPr>
          <w:rFonts w:ascii="Garamond" w:hAnsi="Garamond"/>
          <w:i/>
          <w:iCs/>
        </w:rPr>
        <w:t xml:space="preserve"> </w:t>
      </w:r>
      <w:r w:rsidRPr="40F0DAC6">
        <w:rPr>
          <w:rFonts w:ascii="Garamond" w:hAnsi="Garamond"/>
          <w:i/>
          <w:iCs/>
        </w:rPr>
        <w:t>e</w:t>
      </w:r>
      <w:r w:rsidR="00935DD1">
        <w:rPr>
          <w:rFonts w:ascii="Garamond" w:hAnsi="Garamond"/>
          <w:i/>
          <w:iCs/>
        </w:rPr>
        <w:t xml:space="preserve"> </w:t>
      </w:r>
      <w:r w:rsidRPr="40F0DAC6">
        <w:rPr>
          <w:rFonts w:ascii="Garamond" w:hAnsi="Garamond"/>
          <w:i/>
          <w:iCs/>
        </w:rPr>
        <w:t>operativo all'attuazione del Piano nazionale di ripresa e resilienza (PNRR</w:t>
      </w:r>
      <w:r w:rsidRPr="40F0DAC6">
        <w:rPr>
          <w:rFonts w:ascii="Garamond" w:hAnsi="Garamond"/>
        </w:rPr>
        <w:t>)”, fissando la scadenza dei Programmi Operativi Complementari al 31 dicembre 2026.</w:t>
      </w:r>
    </w:p>
    <w:p w14:paraId="3D7358D3" w14:textId="225FCEA8" w:rsidR="00913BD7" w:rsidRDefault="00913BD7" w:rsidP="00E8765B">
      <w:pPr>
        <w:pStyle w:val="NormaleWeb"/>
        <w:shd w:val="clear" w:color="auto" w:fill="FFFFFF" w:themeFill="background1"/>
        <w:spacing w:before="0" w:beforeAutospacing="0" w:after="160" w:afterAutospacing="0" w:line="259" w:lineRule="auto"/>
        <w:jc w:val="both"/>
        <w:rPr>
          <w:rFonts w:ascii="Garamond" w:eastAsiaTheme="minorEastAsia" w:hAnsi="Garamond" w:cstheme="minorBidi"/>
          <w:sz w:val="22"/>
          <w:szCs w:val="22"/>
          <w:lang w:eastAsia="en-US"/>
        </w:rPr>
      </w:pPr>
      <w:r w:rsidRPr="567E1E70">
        <w:rPr>
          <w:rFonts w:ascii="Garamond" w:eastAsiaTheme="minorEastAsia" w:hAnsi="Garamond" w:cstheme="minorBidi"/>
          <w:sz w:val="22"/>
          <w:szCs w:val="22"/>
          <w:lang w:eastAsia="en-US"/>
        </w:rPr>
        <w:t>5. L’</w:t>
      </w:r>
      <w:r w:rsidR="00F16FF8">
        <w:rPr>
          <w:rFonts w:ascii="Garamond" w:eastAsiaTheme="minorEastAsia" w:hAnsi="Garamond" w:cstheme="minorBidi"/>
          <w:sz w:val="22"/>
          <w:szCs w:val="22"/>
          <w:lang w:eastAsia="en-US"/>
        </w:rPr>
        <w:t>A</w:t>
      </w:r>
      <w:r w:rsidRPr="567E1E70">
        <w:rPr>
          <w:rFonts w:ascii="Garamond" w:eastAsiaTheme="minorEastAsia" w:hAnsi="Garamond" w:cstheme="minorBidi"/>
          <w:sz w:val="22"/>
          <w:szCs w:val="22"/>
          <w:lang w:eastAsia="en-US"/>
        </w:rPr>
        <w:t>mministrazione centrale titolare di interventi PNRR, su richiesta del</w:t>
      </w:r>
      <w:r w:rsidR="000234E8">
        <w:rPr>
          <w:rFonts w:ascii="Garamond" w:eastAsiaTheme="minorEastAsia" w:hAnsi="Garamond" w:cstheme="minorBidi"/>
          <w:sz w:val="22"/>
          <w:szCs w:val="22"/>
          <w:lang w:eastAsia="en-US"/>
        </w:rPr>
        <w:t xml:space="preserve"> Soggetto </w:t>
      </w:r>
      <w:r w:rsidR="000D13A8">
        <w:rPr>
          <w:rFonts w:ascii="Garamond" w:eastAsiaTheme="minorEastAsia" w:hAnsi="Garamond" w:cstheme="minorBidi"/>
          <w:sz w:val="22"/>
          <w:szCs w:val="22"/>
          <w:lang w:eastAsia="en-US"/>
        </w:rPr>
        <w:t>A</w:t>
      </w:r>
      <w:r w:rsidR="000234E8">
        <w:rPr>
          <w:rFonts w:ascii="Garamond" w:eastAsiaTheme="minorEastAsia" w:hAnsi="Garamond" w:cstheme="minorBidi"/>
          <w:sz w:val="22"/>
          <w:szCs w:val="22"/>
          <w:lang w:eastAsia="en-US"/>
        </w:rPr>
        <w:t>ttuatore</w:t>
      </w:r>
      <w:r w:rsidRPr="567E1E70">
        <w:rPr>
          <w:rFonts w:ascii="Garamond" w:eastAsiaTheme="minorEastAsia" w:hAnsi="Garamond" w:cstheme="minorBidi"/>
          <w:sz w:val="22"/>
          <w:szCs w:val="22"/>
          <w:lang w:eastAsia="en-US"/>
        </w:rPr>
        <w:t xml:space="preserve">, mediante </w:t>
      </w:r>
      <w:r w:rsidR="000A4E15">
        <w:rPr>
          <w:rFonts w:ascii="Garamond" w:eastAsiaTheme="minorEastAsia" w:hAnsi="Garamond" w:cstheme="minorBidi"/>
          <w:sz w:val="22"/>
          <w:szCs w:val="22"/>
          <w:lang w:eastAsia="en-US"/>
        </w:rPr>
        <w:t xml:space="preserve">apposito </w:t>
      </w:r>
      <w:r w:rsidRPr="000A4E15">
        <w:rPr>
          <w:rFonts w:ascii="Garamond" w:eastAsiaTheme="minorEastAsia" w:hAnsi="Garamond" w:cstheme="minorBidi"/>
          <w:sz w:val="22"/>
          <w:szCs w:val="22"/>
          <w:lang w:eastAsia="en-US"/>
        </w:rPr>
        <w:t xml:space="preserve">format, </w:t>
      </w:r>
      <w:r w:rsidRPr="00831ED7">
        <w:rPr>
          <w:rFonts w:ascii="Garamond" w:eastAsiaTheme="minorEastAsia" w:hAnsi="Garamond" w:cstheme="minorBidi"/>
          <w:sz w:val="22"/>
          <w:szCs w:val="22"/>
          <w:lang w:eastAsia="en-US"/>
        </w:rPr>
        <w:t>procede con l’erogazione a titolo di anticipo di una quota del contributo assegnato</w:t>
      </w:r>
      <w:r w:rsidR="00831ED7">
        <w:rPr>
          <w:rFonts w:ascii="Garamond" w:eastAsiaTheme="minorEastAsia" w:hAnsi="Garamond" w:cstheme="minorBidi"/>
          <w:sz w:val="22"/>
          <w:szCs w:val="22"/>
          <w:lang w:eastAsia="en-US"/>
        </w:rPr>
        <w:t>,</w:t>
      </w:r>
      <w:r w:rsidRPr="00831ED7">
        <w:rPr>
          <w:rFonts w:ascii="Garamond" w:eastAsiaTheme="minorEastAsia" w:hAnsi="Garamond" w:cstheme="minorBidi"/>
          <w:sz w:val="22"/>
          <w:szCs w:val="22"/>
          <w:lang w:eastAsia="en-US"/>
        </w:rPr>
        <w:t xml:space="preserve"> in conformità a quanto stabilito </w:t>
      </w:r>
      <w:r w:rsidR="009D410D" w:rsidRPr="00831ED7">
        <w:rPr>
          <w:rFonts w:ascii="Garamond" w:hAnsi="Garamond"/>
          <w:sz w:val="22"/>
          <w:szCs w:val="22"/>
        </w:rPr>
        <w:t>dal Decreto Direttoriale n</w:t>
      </w:r>
      <w:r w:rsidR="00282886" w:rsidRPr="00831ED7">
        <w:rPr>
          <w:rFonts w:ascii="Garamond" w:hAnsi="Garamond"/>
          <w:sz w:val="22"/>
          <w:szCs w:val="22"/>
        </w:rPr>
        <w:t>.</w:t>
      </w:r>
      <w:r w:rsidR="009D410D" w:rsidRPr="00831ED7">
        <w:rPr>
          <w:rFonts w:ascii="Garamond" w:hAnsi="Garamond"/>
          <w:sz w:val="22"/>
          <w:szCs w:val="22"/>
        </w:rPr>
        <w:t xml:space="preserve"> 54 del 22 luglio 2022 e </w:t>
      </w:r>
      <w:r w:rsidR="007148A8">
        <w:rPr>
          <w:rFonts w:ascii="Garamond" w:eastAsiaTheme="minorEastAsia" w:hAnsi="Garamond" w:cstheme="minorBidi"/>
          <w:sz w:val="22"/>
          <w:szCs w:val="22"/>
          <w:lang w:eastAsia="en-US"/>
        </w:rPr>
        <w:t>da</w:t>
      </w:r>
      <w:r w:rsidRPr="00831ED7">
        <w:rPr>
          <w:rFonts w:ascii="Garamond" w:eastAsiaTheme="minorEastAsia" w:hAnsi="Garamond" w:cstheme="minorBidi"/>
          <w:sz w:val="22"/>
          <w:szCs w:val="22"/>
          <w:lang w:eastAsia="en-US"/>
        </w:rPr>
        <w:t xml:space="preserve"> successivi provvedimenti</w:t>
      </w:r>
      <w:r w:rsidR="00C654A7">
        <w:rPr>
          <w:rFonts w:ascii="Garamond" w:eastAsiaTheme="minorEastAsia" w:hAnsi="Garamond" w:cstheme="minorBidi"/>
          <w:sz w:val="22"/>
          <w:szCs w:val="22"/>
          <w:lang w:eastAsia="en-US"/>
        </w:rPr>
        <w:t>.</w:t>
      </w:r>
    </w:p>
    <w:p w14:paraId="24575B2C" w14:textId="320CE205" w:rsidR="00913BD7" w:rsidRDefault="00913BD7" w:rsidP="00E8765B">
      <w:pPr>
        <w:pStyle w:val="NormaleWeb"/>
        <w:spacing w:before="0" w:beforeAutospacing="0" w:after="160" w:afterAutospacing="0" w:line="259" w:lineRule="auto"/>
        <w:jc w:val="both"/>
        <w:rPr>
          <w:rFonts w:ascii="Garamond" w:eastAsiaTheme="minorEastAsia" w:hAnsi="Garamond" w:cstheme="minorBidi"/>
          <w:sz w:val="22"/>
          <w:szCs w:val="22"/>
          <w:lang w:eastAsia="en-US"/>
        </w:rPr>
      </w:pPr>
      <w:r w:rsidRPr="567E1E70">
        <w:rPr>
          <w:rFonts w:ascii="Garamond" w:eastAsiaTheme="minorEastAsia" w:hAnsi="Garamond" w:cstheme="minorBidi"/>
          <w:sz w:val="22"/>
          <w:szCs w:val="22"/>
          <w:lang w:eastAsia="en-US"/>
        </w:rPr>
        <w:t xml:space="preserve">6. Dalle risorse erogate verranno decurtate le spese risultate in via definitiva non ammissibili e/o oggetto di procedura di recupero. </w:t>
      </w:r>
    </w:p>
    <w:p w14:paraId="33479DB4" w14:textId="470ED1CD" w:rsidR="00855C00" w:rsidRDefault="00855C00" w:rsidP="00B75623">
      <w:pPr>
        <w:jc w:val="both"/>
      </w:pPr>
      <w:r>
        <w:rPr>
          <w:rFonts w:ascii="Garamond" w:hAnsi="Garamond"/>
        </w:rPr>
        <w:t>7.</w:t>
      </w:r>
      <w:r w:rsidRPr="55765628">
        <w:rPr>
          <w:rFonts w:ascii="Garamond" w:hAnsi="Garamond"/>
        </w:rPr>
        <w:t xml:space="preserve"> </w:t>
      </w:r>
      <w:r>
        <w:rPr>
          <w:rFonts w:ascii="Garamond" w:hAnsi="Garamond"/>
        </w:rPr>
        <w:t>In ogni caso</w:t>
      </w:r>
      <w:r w:rsidR="007A6368">
        <w:rPr>
          <w:rFonts w:ascii="Garamond" w:hAnsi="Garamond"/>
        </w:rPr>
        <w:t>,</w:t>
      </w:r>
      <w:r>
        <w:rPr>
          <w:rFonts w:ascii="Garamond" w:hAnsi="Garamond"/>
        </w:rPr>
        <w:t xml:space="preserve"> il saldo finale </w:t>
      </w:r>
      <w:r w:rsidRPr="55765628">
        <w:rPr>
          <w:rFonts w:ascii="Garamond" w:hAnsi="Garamond"/>
        </w:rPr>
        <w:t>delle risorse assegnate per l’intervento ver</w:t>
      </w:r>
      <w:r w:rsidR="00E66853">
        <w:rPr>
          <w:rFonts w:ascii="Garamond" w:hAnsi="Garamond"/>
        </w:rPr>
        <w:t>rà</w:t>
      </w:r>
      <w:r w:rsidRPr="55765628">
        <w:rPr>
          <w:rFonts w:ascii="Garamond" w:hAnsi="Garamond"/>
        </w:rPr>
        <w:t xml:space="preserve"> erogat</w:t>
      </w:r>
      <w:r w:rsidR="00E66853">
        <w:rPr>
          <w:rFonts w:ascii="Garamond" w:hAnsi="Garamond"/>
        </w:rPr>
        <w:t>o</w:t>
      </w:r>
      <w:r w:rsidRPr="55765628">
        <w:rPr>
          <w:rFonts w:ascii="Garamond" w:hAnsi="Garamond"/>
        </w:rPr>
        <w:t xml:space="preserve"> dall’Amministrazione centrale </w:t>
      </w:r>
      <w:r w:rsidR="00223F1F">
        <w:rPr>
          <w:rFonts w:ascii="Garamond" w:hAnsi="Garamond"/>
        </w:rPr>
        <w:t>titolare di interventi</w:t>
      </w:r>
      <w:r w:rsidR="00FB31C2">
        <w:rPr>
          <w:rFonts w:ascii="Garamond" w:hAnsi="Garamond"/>
        </w:rPr>
        <w:t xml:space="preserve"> </w:t>
      </w:r>
      <w:r w:rsidRPr="55765628">
        <w:rPr>
          <w:rFonts w:ascii="Garamond" w:hAnsi="Garamond"/>
        </w:rPr>
        <w:t>PNRR, in seguito alla verifica con esito positivo delle spese</w:t>
      </w:r>
      <w:r w:rsidR="00935DD1">
        <w:rPr>
          <w:rFonts w:ascii="Garamond" w:hAnsi="Garamond"/>
        </w:rPr>
        <w:t>,</w:t>
      </w:r>
      <w:r w:rsidRPr="55765628">
        <w:rPr>
          <w:rFonts w:ascii="Garamond" w:hAnsi="Garamond"/>
        </w:rPr>
        <w:t xml:space="preserve"> </w:t>
      </w:r>
      <w:r w:rsidR="00935DD1">
        <w:rPr>
          <w:rFonts w:ascii="Garamond" w:hAnsi="Garamond"/>
        </w:rPr>
        <w:t xml:space="preserve">effettuata </w:t>
      </w:r>
      <w:r w:rsidRPr="55765628">
        <w:rPr>
          <w:rFonts w:ascii="Garamond" w:hAnsi="Garamond"/>
        </w:rPr>
        <w:t xml:space="preserve">sulla rendicontazione inviata </w:t>
      </w:r>
      <w:r>
        <w:rPr>
          <w:rFonts w:ascii="Garamond" w:hAnsi="Garamond"/>
        </w:rPr>
        <w:t>dal Soggetto Attuatore</w:t>
      </w:r>
      <w:r w:rsidRPr="55765628">
        <w:rPr>
          <w:rFonts w:ascii="Garamond" w:hAnsi="Garamond"/>
        </w:rPr>
        <w:t xml:space="preserve"> unitamente alla comunicazione della avvenuta chiusura dell’intervento di competenza, acquisito il Parere </w:t>
      </w:r>
      <w:r w:rsidR="00C20AE6">
        <w:rPr>
          <w:rFonts w:ascii="Garamond" w:hAnsi="Garamond"/>
        </w:rPr>
        <w:t>dell’Unità di Missione</w:t>
      </w:r>
      <w:r w:rsidR="00C20AE6" w:rsidRPr="55765628">
        <w:rPr>
          <w:rFonts w:ascii="Garamond" w:hAnsi="Garamond"/>
        </w:rPr>
        <w:t xml:space="preserve"> </w:t>
      </w:r>
      <w:r w:rsidRPr="55765628">
        <w:rPr>
          <w:rFonts w:ascii="Garamond" w:hAnsi="Garamond"/>
        </w:rPr>
        <w:t xml:space="preserve">RGS attestante il conseguimento </w:t>
      </w:r>
      <w:r w:rsidR="00885FE2">
        <w:rPr>
          <w:rFonts w:ascii="Garamond" w:hAnsi="Garamond"/>
        </w:rPr>
        <w:t>dell’Obiettivo generale PNRR</w:t>
      </w:r>
      <w:r w:rsidRPr="55765628">
        <w:rPr>
          <w:rFonts w:ascii="Garamond" w:hAnsi="Garamond"/>
        </w:rPr>
        <w:t>.</w:t>
      </w:r>
    </w:p>
    <w:p w14:paraId="46515ECE" w14:textId="72CD7915" w:rsidR="00913BD7" w:rsidRPr="0077142B" w:rsidRDefault="00855C00" w:rsidP="00B75623">
      <w:pPr>
        <w:jc w:val="both"/>
        <w:rPr>
          <w:rFonts w:ascii="Garamond" w:hAnsi="Garamond"/>
        </w:rPr>
      </w:pPr>
      <w:r>
        <w:rPr>
          <w:rFonts w:ascii="Garamond" w:hAnsi="Garamond"/>
        </w:rPr>
        <w:t>8</w:t>
      </w:r>
      <w:r w:rsidR="00A7683B">
        <w:rPr>
          <w:rFonts w:ascii="Garamond" w:hAnsi="Garamond"/>
        </w:rPr>
        <w:t>.</w:t>
      </w:r>
      <w:r w:rsidR="00913BD7" w:rsidRPr="567E1E70">
        <w:rPr>
          <w:rFonts w:ascii="Garamond" w:hAnsi="Garamond"/>
        </w:rPr>
        <w:t xml:space="preserve"> Le parti, durante l’esecuzione del presente </w:t>
      </w:r>
      <w:r w:rsidR="00C20AE6">
        <w:rPr>
          <w:rFonts w:ascii="Garamond" w:hAnsi="Garamond"/>
        </w:rPr>
        <w:t>A</w:t>
      </w:r>
      <w:r w:rsidR="00913BD7" w:rsidRPr="567E1E70">
        <w:rPr>
          <w:rFonts w:ascii="Garamond" w:hAnsi="Garamond"/>
        </w:rPr>
        <w:t xml:space="preserve">ccordo, si impegnano all’osservanza delle normative vigenti in materia fiscale e, in particolare, dichiarano che le prestazioni per la realizzazione delle attività oggetto del presente </w:t>
      </w:r>
      <w:r w:rsidR="00296C91">
        <w:rPr>
          <w:rFonts w:ascii="Garamond" w:hAnsi="Garamond"/>
        </w:rPr>
        <w:t>A</w:t>
      </w:r>
      <w:r w:rsidR="00913BD7" w:rsidRPr="567E1E70">
        <w:rPr>
          <w:rFonts w:ascii="Garamond" w:hAnsi="Garamond"/>
        </w:rPr>
        <w:t>ccordo non sono rese nell’esercizio dell’attività d’impresa e che, pertanto, non rientrano nell’ambito di applicazione del D.P.R. 26 ottobre 1972, n. 633 recante “Istituzione e disciplina dell’imposta sul valore aggiunto”.</w:t>
      </w:r>
    </w:p>
    <w:p w14:paraId="1C321E06" w14:textId="77777777" w:rsidR="00913BD7" w:rsidRPr="0077142B" w:rsidRDefault="00913BD7" w:rsidP="00D64458">
      <w:pPr>
        <w:jc w:val="center"/>
        <w:rPr>
          <w:rFonts w:ascii="Garamond" w:hAnsi="Garamond"/>
          <w:b/>
          <w:bCs/>
        </w:rPr>
      </w:pPr>
    </w:p>
    <w:p w14:paraId="27407237" w14:textId="77777777" w:rsidR="00DB6020" w:rsidRPr="0077142B" w:rsidRDefault="00DB6020" w:rsidP="00D64458">
      <w:pPr>
        <w:jc w:val="center"/>
        <w:rPr>
          <w:rFonts w:ascii="Garamond" w:hAnsi="Garamond"/>
          <w:b/>
          <w:bCs/>
        </w:rPr>
      </w:pPr>
      <w:r w:rsidRPr="0077142B">
        <w:rPr>
          <w:rFonts w:ascii="Garamond" w:hAnsi="Garamond"/>
          <w:b/>
          <w:bCs/>
        </w:rPr>
        <w:t>Articolo 9</w:t>
      </w:r>
    </w:p>
    <w:p w14:paraId="6E6A6977" w14:textId="77777777" w:rsidR="00DB6020" w:rsidRPr="0077142B" w:rsidRDefault="00DB6020" w:rsidP="004D256D">
      <w:pPr>
        <w:jc w:val="center"/>
        <w:rPr>
          <w:rFonts w:ascii="Garamond" w:hAnsi="Garamond"/>
          <w:b/>
          <w:bCs/>
        </w:rPr>
      </w:pPr>
      <w:r w:rsidRPr="0077142B">
        <w:rPr>
          <w:rFonts w:ascii="Garamond" w:hAnsi="Garamond"/>
          <w:b/>
          <w:bCs/>
        </w:rPr>
        <w:t>(Riservatezza e Trattamento dei dati personali)</w:t>
      </w:r>
    </w:p>
    <w:p w14:paraId="472AFD2B" w14:textId="3AC1E693" w:rsidR="00C265A0" w:rsidRPr="0077142B" w:rsidRDefault="00C265A0" w:rsidP="004D256D">
      <w:pPr>
        <w:jc w:val="both"/>
        <w:rPr>
          <w:rFonts w:ascii="Garamond" w:hAnsi="Garamond"/>
        </w:rPr>
      </w:pPr>
      <w:r w:rsidRPr="55765628">
        <w:rPr>
          <w:rFonts w:ascii="Garamond" w:hAnsi="Garamond"/>
        </w:rPr>
        <w:t>1. Le parti hanno l’obbligo di mantenere riservati i dati, le informazioni di natura tecnica, economica, commerciale ed amministrativa ed i documenti di cui vengano a conoscenza o in possesso in esecuzione del presente accordo o comunque in relazione ad esso in conformità alle disposizioni di legge, di non divulgarli in alcun modo e in qualsiasi forma e di non farne oggetto di utilizzazione a qualsiasi titolo per scopi diversi da quelli strettamente necessari all’esecuzione dell’</w:t>
      </w:r>
      <w:r w:rsidR="00C20AE6">
        <w:rPr>
          <w:rFonts w:ascii="Garamond" w:hAnsi="Garamond"/>
        </w:rPr>
        <w:t>A</w:t>
      </w:r>
      <w:r w:rsidRPr="55765628">
        <w:rPr>
          <w:rFonts w:ascii="Garamond" w:hAnsi="Garamond"/>
        </w:rPr>
        <w:t>ccordo, per la durata dell’</w:t>
      </w:r>
      <w:r w:rsidR="00C20AE6">
        <w:rPr>
          <w:rFonts w:ascii="Garamond" w:hAnsi="Garamond"/>
        </w:rPr>
        <w:t>A</w:t>
      </w:r>
      <w:r w:rsidRPr="55765628">
        <w:rPr>
          <w:rFonts w:ascii="Garamond" w:hAnsi="Garamond"/>
        </w:rPr>
        <w:t>ccordo stesso.</w:t>
      </w:r>
    </w:p>
    <w:p w14:paraId="573F282C" w14:textId="3BB75E29" w:rsidR="00C265A0" w:rsidRPr="0077142B" w:rsidRDefault="00C265A0" w:rsidP="004D256D">
      <w:pPr>
        <w:jc w:val="both"/>
        <w:rPr>
          <w:rFonts w:ascii="Garamond" w:hAnsi="Garamond"/>
        </w:rPr>
      </w:pPr>
      <w:r w:rsidRPr="55765628">
        <w:rPr>
          <w:rFonts w:ascii="Garamond" w:hAnsi="Garamond"/>
        </w:rPr>
        <w:t xml:space="preserve">2. Le parti si obbligano a far osservare ai propri dipendenti, incaricati e collaboratori la massima riservatezza su fatti e circostanze di cui gli stessi vengano a conoscenza, direttamente e/o indirettamente, per ragioni del loro ufficio, durante l’esecuzione del presente </w:t>
      </w:r>
      <w:r w:rsidR="00296C91">
        <w:rPr>
          <w:rFonts w:ascii="Garamond" w:hAnsi="Garamond"/>
        </w:rPr>
        <w:t>A</w:t>
      </w:r>
      <w:r w:rsidRPr="55765628">
        <w:rPr>
          <w:rFonts w:ascii="Garamond" w:hAnsi="Garamond"/>
        </w:rPr>
        <w:t>ccordo. Gli obblighi di riservatezza di cui al presente articolo rimarranno operanti fino a quando gli elementi soggetti al vincolo di riservatezza non divengano di pubblico dominio.</w:t>
      </w:r>
    </w:p>
    <w:p w14:paraId="2CF4F9C0" w14:textId="04A40CAF" w:rsidR="00C265A0" w:rsidRPr="0077142B" w:rsidRDefault="00C265A0" w:rsidP="001178EF">
      <w:pPr>
        <w:jc w:val="both"/>
        <w:rPr>
          <w:rFonts w:ascii="Garamond" w:hAnsi="Garamond"/>
        </w:rPr>
      </w:pPr>
      <w:r w:rsidRPr="55765628">
        <w:rPr>
          <w:rFonts w:ascii="Garamond" w:hAnsi="Garamond"/>
        </w:rPr>
        <w:t xml:space="preserve">3. Il trattamento di dati personali per il perseguimento delle finalità del presente </w:t>
      </w:r>
      <w:r w:rsidR="00296C91">
        <w:rPr>
          <w:rFonts w:ascii="Garamond" w:hAnsi="Garamond"/>
        </w:rPr>
        <w:t>A</w:t>
      </w:r>
      <w:r w:rsidRPr="55765628">
        <w:rPr>
          <w:rFonts w:ascii="Garamond" w:hAnsi="Garamond"/>
        </w:rPr>
        <w:t>ccordo di collaborazione è effettuato dalle Amministrazioni sottoscrittrici in conformità ai principi di liceità, proporzionalità, necessità e indispensabilità del trattamento, ai sensi dalla vigente normativa, nonché in base alle disposizioni organizzative interne delle medesime Amministrazioni.</w:t>
      </w:r>
    </w:p>
    <w:p w14:paraId="4D1E0574" w14:textId="2D4C5737" w:rsidR="00C265A0" w:rsidRDefault="00C265A0" w:rsidP="001178EF">
      <w:pPr>
        <w:jc w:val="both"/>
        <w:rPr>
          <w:rFonts w:ascii="Garamond" w:hAnsi="Garamond"/>
        </w:rPr>
      </w:pPr>
      <w:r w:rsidRPr="55765628">
        <w:rPr>
          <w:rFonts w:ascii="Garamond" w:hAnsi="Garamond"/>
        </w:rPr>
        <w:t>4. Ai sensi della vigente normativa in materia di protezione dei dati personali</w:t>
      </w:r>
      <w:r w:rsidR="0051524D">
        <w:rPr>
          <w:rFonts w:ascii="Garamond" w:hAnsi="Garamond"/>
        </w:rPr>
        <w:t>,</w:t>
      </w:r>
      <w:r w:rsidRPr="55765628">
        <w:rPr>
          <w:rFonts w:ascii="Garamond" w:hAnsi="Garamond"/>
        </w:rPr>
        <w:t xml:space="preserve"> si precisa che: </w:t>
      </w:r>
    </w:p>
    <w:p w14:paraId="13C410A7" w14:textId="32167A3B" w:rsidR="00C265A0" w:rsidRDefault="00C235A7" w:rsidP="001178EF">
      <w:pPr>
        <w:ind w:left="708"/>
        <w:jc w:val="both"/>
        <w:rPr>
          <w:rFonts w:ascii="Garamond" w:hAnsi="Garamond"/>
        </w:rPr>
      </w:pPr>
      <w:r>
        <w:rPr>
          <w:rFonts w:ascii="Garamond" w:hAnsi="Garamond"/>
        </w:rPr>
        <w:t xml:space="preserve">- </w:t>
      </w:r>
      <w:r w:rsidR="00C265A0" w:rsidRPr="7D979DFE">
        <w:rPr>
          <w:rFonts w:ascii="Garamond" w:hAnsi="Garamond"/>
        </w:rPr>
        <w:t xml:space="preserve">Per l’Unità di Missione per l’attuazione degli interventi PNRR, presso il Ministero del lavoro e delle politiche sociali </w:t>
      </w:r>
    </w:p>
    <w:p w14:paraId="63BFA484" w14:textId="6F947B90" w:rsidR="00C265A0" w:rsidRDefault="00C265A0" w:rsidP="001178EF">
      <w:pPr>
        <w:ind w:left="708"/>
        <w:jc w:val="both"/>
        <w:rPr>
          <w:rFonts w:ascii="Garamond" w:hAnsi="Garamond"/>
        </w:rPr>
      </w:pPr>
      <w:r w:rsidRPr="55765628">
        <w:rPr>
          <w:rFonts w:ascii="Garamond" w:hAnsi="Garamond"/>
        </w:rPr>
        <w:t xml:space="preserve">(i) il titolare del trattamento dei dati personali, è </w:t>
      </w:r>
      <w:r w:rsidR="00A06888">
        <w:rPr>
          <w:rFonts w:ascii="Garamond" w:hAnsi="Garamond"/>
        </w:rPr>
        <w:t xml:space="preserve">Ministero del Lavoro e delle Politiche Sociali con sede in Via Vittorio Veneto 56, 00187, Roma </w:t>
      </w:r>
      <w:r w:rsidRPr="55765628">
        <w:rPr>
          <w:rFonts w:ascii="Garamond" w:hAnsi="Garamond"/>
        </w:rPr>
        <w:t xml:space="preserve">e il </w:t>
      </w:r>
    </w:p>
    <w:p w14:paraId="4A175197" w14:textId="3C0B47EF" w:rsidR="00C265A0" w:rsidRDefault="00C265A0" w:rsidP="001178EF">
      <w:pPr>
        <w:ind w:left="708"/>
        <w:jc w:val="both"/>
        <w:rPr>
          <w:rFonts w:ascii="Garamond" w:hAnsi="Garamond"/>
        </w:rPr>
      </w:pPr>
      <w:r w:rsidRPr="55765628">
        <w:rPr>
          <w:rFonts w:ascii="Garamond" w:hAnsi="Garamond"/>
        </w:rPr>
        <w:t xml:space="preserve">(ii) Responsabile del trattamento è </w:t>
      </w:r>
      <w:r w:rsidR="00A06888">
        <w:rPr>
          <w:rFonts w:ascii="Garamond" w:hAnsi="Garamond"/>
        </w:rPr>
        <w:t>il delegato nominato dal Titolare del trattamento dei dati personali</w:t>
      </w:r>
      <w:r w:rsidRPr="55765628">
        <w:rPr>
          <w:rFonts w:ascii="Garamond" w:hAnsi="Garamond"/>
        </w:rPr>
        <w:t>.</w:t>
      </w:r>
    </w:p>
    <w:p w14:paraId="7BA1EE6F" w14:textId="62097CFE" w:rsidR="00C265A0" w:rsidRDefault="00C235A7" w:rsidP="001178EF">
      <w:pPr>
        <w:ind w:left="708"/>
        <w:jc w:val="both"/>
        <w:rPr>
          <w:rFonts w:ascii="Garamond" w:hAnsi="Garamond"/>
        </w:rPr>
      </w:pPr>
      <w:bookmarkStart w:id="5" w:name="_Hlk116631220"/>
      <w:r>
        <w:rPr>
          <w:rFonts w:ascii="Garamond" w:hAnsi="Garamond"/>
        </w:rPr>
        <w:t xml:space="preserve">- </w:t>
      </w:r>
      <w:r w:rsidR="00C265A0" w:rsidRPr="62E88E0E">
        <w:rPr>
          <w:rFonts w:ascii="Garamond" w:hAnsi="Garamond"/>
        </w:rPr>
        <w:t>Per la DG Politiche Attive</w:t>
      </w:r>
      <w:r w:rsidR="00320CC0">
        <w:rPr>
          <w:rFonts w:ascii="Garamond" w:hAnsi="Garamond"/>
        </w:rPr>
        <w:t xml:space="preserve"> del Lavoro</w:t>
      </w:r>
    </w:p>
    <w:p w14:paraId="0E451DB3" w14:textId="24875B7C" w:rsidR="00C265A0" w:rsidRPr="00C61F22" w:rsidRDefault="00C265A0" w:rsidP="001178EF">
      <w:pPr>
        <w:ind w:left="708"/>
        <w:jc w:val="both"/>
        <w:rPr>
          <w:rFonts w:ascii="Garamond" w:hAnsi="Garamond"/>
        </w:rPr>
      </w:pPr>
      <w:r w:rsidRPr="00C61F22">
        <w:rPr>
          <w:rFonts w:ascii="Garamond" w:hAnsi="Garamond"/>
        </w:rPr>
        <w:t xml:space="preserve">(i) </w:t>
      </w:r>
      <w:r w:rsidR="00320CC0" w:rsidRPr="00C61F22">
        <w:rPr>
          <w:rFonts w:ascii="Garamond" w:hAnsi="Garamond"/>
        </w:rPr>
        <w:t>esercente le funzioni di titolare del trattamento dei dati personali, è la dott.ssa Anita Pisarro, ai sensi e per gli effetti del DM n. 253 del 29 dicembre 2021</w:t>
      </w:r>
    </w:p>
    <w:p w14:paraId="0C911BCB" w14:textId="3AEFE2CF" w:rsidR="00C265A0" w:rsidRPr="0077142B" w:rsidRDefault="00C265A0" w:rsidP="001178EF">
      <w:pPr>
        <w:ind w:left="708"/>
        <w:jc w:val="both"/>
        <w:rPr>
          <w:rFonts w:ascii="Garamond" w:hAnsi="Garamond"/>
        </w:rPr>
      </w:pPr>
      <w:r w:rsidRPr="00C61F22">
        <w:rPr>
          <w:rFonts w:ascii="Garamond" w:hAnsi="Garamond"/>
        </w:rPr>
        <w:t xml:space="preserve">(ii) </w:t>
      </w:r>
      <w:r w:rsidR="00320CC0" w:rsidRPr="00C61F22">
        <w:rPr>
          <w:rFonts w:ascii="Garamond" w:hAnsi="Garamond"/>
        </w:rPr>
        <w:t xml:space="preserve">Responsabile interno del trattamento è il dott. Andrea Simoncini, ai sensi e per gli effetti dell’articolo 5 del DM n. 37 del 10 aprile 2019 e successive modifiche, come da atto di nomina prot. n. </w:t>
      </w:r>
      <w:r w:rsidR="00A93F6A" w:rsidRPr="00C61F22">
        <w:rPr>
          <w:rFonts w:ascii="Garamond" w:hAnsi="Garamond"/>
        </w:rPr>
        <w:t>4243</w:t>
      </w:r>
      <w:r w:rsidR="00320CC0" w:rsidRPr="00C61F22">
        <w:rPr>
          <w:rFonts w:ascii="Garamond" w:hAnsi="Garamond"/>
        </w:rPr>
        <w:t xml:space="preserve"> del </w:t>
      </w:r>
      <w:r w:rsidR="00A93F6A" w:rsidRPr="00C61F22">
        <w:rPr>
          <w:rFonts w:ascii="Garamond" w:hAnsi="Garamond"/>
        </w:rPr>
        <w:t>19</w:t>
      </w:r>
      <w:r w:rsidR="00A93F6A">
        <w:rPr>
          <w:rFonts w:ascii="Garamond" w:hAnsi="Garamond"/>
        </w:rPr>
        <w:t xml:space="preserve"> ottobre 2022 </w:t>
      </w:r>
    </w:p>
    <w:bookmarkEnd w:id="5"/>
    <w:p w14:paraId="5955B25F" w14:textId="41DE80FB" w:rsidR="00C265A0" w:rsidRDefault="00C235A7" w:rsidP="00B50345">
      <w:pPr>
        <w:ind w:left="708"/>
        <w:jc w:val="both"/>
        <w:rPr>
          <w:rFonts w:ascii="Garamond" w:hAnsi="Garamond"/>
        </w:rPr>
      </w:pPr>
      <w:r>
        <w:rPr>
          <w:rFonts w:ascii="Garamond" w:hAnsi="Garamond"/>
        </w:rPr>
        <w:t xml:space="preserve">- </w:t>
      </w:r>
      <w:r w:rsidR="00C265A0" w:rsidRPr="62E88E0E">
        <w:rPr>
          <w:rFonts w:ascii="Garamond" w:hAnsi="Garamond"/>
        </w:rPr>
        <w:t>Per la Regione</w:t>
      </w:r>
    </w:p>
    <w:p w14:paraId="1443E351" w14:textId="3CD06C79" w:rsidR="00B50345" w:rsidRPr="00B50345" w:rsidRDefault="00B50345" w:rsidP="00B50345">
      <w:pPr>
        <w:spacing w:after="0"/>
        <w:ind w:left="708"/>
        <w:jc w:val="both"/>
        <w:rPr>
          <w:rFonts w:ascii="Garamond" w:hAnsi="Garamond"/>
        </w:rPr>
      </w:pPr>
      <w:r>
        <w:rPr>
          <w:rFonts w:ascii="Garamond" w:hAnsi="Garamond"/>
        </w:rPr>
        <w:t xml:space="preserve">(i) </w:t>
      </w:r>
      <w:r w:rsidRPr="00B50345">
        <w:rPr>
          <w:rFonts w:ascii="Garamond" w:hAnsi="Garamond"/>
        </w:rPr>
        <w:t xml:space="preserve">il titolare del trattamento dei dati personali è la </w:t>
      </w:r>
      <w:r w:rsidR="00F577F8">
        <w:rPr>
          <w:rFonts w:ascii="Garamond" w:hAnsi="Garamond"/>
        </w:rPr>
        <w:t>____________________________________</w:t>
      </w:r>
      <w:r w:rsidRPr="00B50345">
        <w:rPr>
          <w:rFonts w:ascii="Garamond" w:hAnsi="Garamond"/>
        </w:rPr>
        <w:t xml:space="preserve">  </w:t>
      </w:r>
    </w:p>
    <w:p w14:paraId="0B745CE4" w14:textId="77777777" w:rsidR="00B50345" w:rsidRPr="00B50345" w:rsidRDefault="00B50345" w:rsidP="00B50345">
      <w:pPr>
        <w:spacing w:after="0"/>
        <w:ind w:left="708"/>
        <w:jc w:val="both"/>
        <w:rPr>
          <w:rFonts w:ascii="Garamond" w:hAnsi="Garamond"/>
        </w:rPr>
      </w:pPr>
    </w:p>
    <w:p w14:paraId="0A1C4EBA" w14:textId="53C34584" w:rsidR="00B50345" w:rsidRPr="00B50345" w:rsidRDefault="00B50345" w:rsidP="00B50345">
      <w:pPr>
        <w:spacing w:after="0"/>
        <w:ind w:left="708"/>
        <w:jc w:val="both"/>
        <w:rPr>
          <w:rFonts w:ascii="Garamond" w:hAnsi="Garamond"/>
        </w:rPr>
      </w:pPr>
      <w:r>
        <w:rPr>
          <w:rFonts w:ascii="Garamond" w:hAnsi="Garamond"/>
        </w:rPr>
        <w:t>(ii)</w:t>
      </w:r>
      <w:r w:rsidRPr="00B50345">
        <w:rPr>
          <w:rFonts w:ascii="Garamond" w:hAnsi="Garamond"/>
        </w:rPr>
        <w:t>Delegato alla conservazione dei dati è il</w:t>
      </w:r>
      <w:r w:rsidR="00F577F8">
        <w:rPr>
          <w:rFonts w:ascii="Garamond" w:hAnsi="Garamond"/>
        </w:rPr>
        <w:t>__________________________</w:t>
      </w:r>
      <w:r w:rsidRPr="00B50345">
        <w:rPr>
          <w:rFonts w:ascii="Garamond" w:hAnsi="Garamond"/>
        </w:rPr>
        <w:t xml:space="preserve"> </w:t>
      </w:r>
    </w:p>
    <w:p w14:paraId="7B04FC60" w14:textId="77777777" w:rsidR="00B50345" w:rsidRPr="00B50345" w:rsidRDefault="00B50345" w:rsidP="00B50345">
      <w:pPr>
        <w:spacing w:after="0"/>
        <w:ind w:left="708"/>
        <w:jc w:val="both"/>
        <w:rPr>
          <w:rFonts w:ascii="Garamond" w:hAnsi="Garamond"/>
        </w:rPr>
      </w:pPr>
    </w:p>
    <w:p w14:paraId="74F9A67D" w14:textId="4BCA517E" w:rsidR="00B50345" w:rsidRPr="0077142B" w:rsidRDefault="00B50345" w:rsidP="00B50345">
      <w:pPr>
        <w:spacing w:after="0"/>
        <w:ind w:left="708"/>
        <w:jc w:val="both"/>
        <w:rPr>
          <w:rFonts w:ascii="Garamond" w:hAnsi="Garamond"/>
        </w:rPr>
      </w:pPr>
      <w:r>
        <w:rPr>
          <w:rFonts w:ascii="Garamond" w:hAnsi="Garamond"/>
        </w:rPr>
        <w:t>(iii)</w:t>
      </w:r>
      <w:r w:rsidRPr="00B50345">
        <w:rPr>
          <w:rFonts w:ascii="Garamond" w:hAnsi="Garamond"/>
        </w:rPr>
        <w:t xml:space="preserve">Delegato al trattamento dei dati è il </w:t>
      </w:r>
      <w:r w:rsidR="00F577F8">
        <w:rPr>
          <w:rFonts w:ascii="Garamond" w:hAnsi="Garamond"/>
        </w:rPr>
        <w:t>__________________________________</w:t>
      </w:r>
    </w:p>
    <w:p w14:paraId="47A8D688" w14:textId="77777777" w:rsidR="00C265A0" w:rsidRPr="0077142B" w:rsidRDefault="00C265A0" w:rsidP="00390FE3">
      <w:pPr>
        <w:jc w:val="both"/>
        <w:rPr>
          <w:rFonts w:ascii="Garamond" w:hAnsi="Garamond"/>
        </w:rPr>
      </w:pPr>
      <w:r w:rsidRPr="55765628">
        <w:rPr>
          <w:rFonts w:ascii="Garamond" w:hAnsi="Garamond"/>
        </w:rPr>
        <w:t>5. Le parti si impegnano a concordare, tramite scambio di note formali, le eventuali modalità di pubblicizzazione o comunicazione esterna, anche a titolo individuale, del presente Accordo.</w:t>
      </w:r>
    </w:p>
    <w:p w14:paraId="4374F3D1" w14:textId="77777777" w:rsidR="00F413D0" w:rsidRDefault="00F413D0" w:rsidP="003C1AC7">
      <w:pPr>
        <w:jc w:val="center"/>
        <w:rPr>
          <w:rFonts w:ascii="Garamond" w:hAnsi="Garamond"/>
          <w:b/>
          <w:bCs/>
        </w:rPr>
      </w:pPr>
    </w:p>
    <w:p w14:paraId="56F7C5B6" w14:textId="07CCA5A9" w:rsidR="00DB6020" w:rsidRPr="0077142B" w:rsidRDefault="00DB6020" w:rsidP="005D5066">
      <w:pPr>
        <w:jc w:val="center"/>
        <w:rPr>
          <w:rFonts w:ascii="Garamond" w:hAnsi="Garamond"/>
          <w:b/>
          <w:bCs/>
        </w:rPr>
      </w:pPr>
      <w:r w:rsidRPr="0077142B">
        <w:rPr>
          <w:rFonts w:ascii="Garamond" w:hAnsi="Garamond"/>
          <w:b/>
          <w:bCs/>
        </w:rPr>
        <w:t>Art</w:t>
      </w:r>
      <w:r w:rsidR="00296C91">
        <w:rPr>
          <w:rFonts w:ascii="Garamond" w:hAnsi="Garamond"/>
          <w:b/>
          <w:bCs/>
        </w:rPr>
        <w:t>icolo</w:t>
      </w:r>
      <w:r w:rsidRPr="0077142B">
        <w:rPr>
          <w:rFonts w:ascii="Garamond" w:hAnsi="Garamond"/>
          <w:b/>
          <w:bCs/>
        </w:rPr>
        <w:t xml:space="preserve"> 10</w:t>
      </w:r>
    </w:p>
    <w:p w14:paraId="7A68BA3E" w14:textId="77777777" w:rsidR="00DB6020" w:rsidRPr="0077142B" w:rsidRDefault="00DB6020" w:rsidP="00F267A7">
      <w:pPr>
        <w:jc w:val="center"/>
        <w:rPr>
          <w:rFonts w:ascii="Garamond" w:hAnsi="Garamond"/>
          <w:b/>
          <w:bCs/>
        </w:rPr>
      </w:pPr>
      <w:r w:rsidRPr="0077142B">
        <w:rPr>
          <w:rFonts w:ascii="Garamond" w:hAnsi="Garamond"/>
          <w:b/>
          <w:bCs/>
        </w:rPr>
        <w:t>(Riduzione o revoca dei contributi)</w:t>
      </w:r>
    </w:p>
    <w:p w14:paraId="7C3CDA04" w14:textId="6B784DAB" w:rsidR="00DB6020" w:rsidRPr="00ED264D" w:rsidRDefault="49F161EF" w:rsidP="00F267A7">
      <w:pPr>
        <w:jc w:val="both"/>
        <w:rPr>
          <w:rFonts w:ascii="Garamond" w:hAnsi="Garamond"/>
        </w:rPr>
      </w:pPr>
      <w:r w:rsidRPr="55765628">
        <w:rPr>
          <w:rFonts w:ascii="Garamond" w:hAnsi="Garamond"/>
        </w:rPr>
        <w:t xml:space="preserve">1. Nel caso in cui </w:t>
      </w:r>
      <w:r w:rsidR="008B3EB2">
        <w:rPr>
          <w:rFonts w:ascii="Garamond" w:hAnsi="Garamond"/>
        </w:rPr>
        <w:t>il Soggetto Attuatore</w:t>
      </w:r>
      <w:r w:rsidRPr="55765628">
        <w:rPr>
          <w:rFonts w:ascii="Garamond" w:hAnsi="Garamond"/>
        </w:rPr>
        <w:t xml:space="preserve"> non </w:t>
      </w:r>
      <w:r w:rsidR="6BCC47A8" w:rsidRPr="55765628">
        <w:rPr>
          <w:rFonts w:ascii="Garamond" w:hAnsi="Garamond"/>
        </w:rPr>
        <w:t>rispetti la tempistica di attuazione prevista dai cronoprogrammi</w:t>
      </w:r>
      <w:r w:rsidR="339916D5" w:rsidRPr="55765628">
        <w:rPr>
          <w:rFonts w:ascii="Garamond" w:hAnsi="Garamond"/>
        </w:rPr>
        <w:t xml:space="preserve"> adottati dall’Amministrazione centrale </w:t>
      </w:r>
      <w:r w:rsidR="00223F1F">
        <w:rPr>
          <w:rFonts w:ascii="Garamond" w:hAnsi="Garamond"/>
        </w:rPr>
        <w:t xml:space="preserve">titolare di interventi </w:t>
      </w:r>
      <w:r w:rsidR="339916D5" w:rsidRPr="55765628">
        <w:rPr>
          <w:rFonts w:ascii="Garamond" w:hAnsi="Garamond"/>
        </w:rPr>
        <w:t>PNRR</w:t>
      </w:r>
      <w:r w:rsidR="6BCC47A8" w:rsidRPr="55765628">
        <w:rPr>
          <w:rFonts w:ascii="Garamond" w:hAnsi="Garamond"/>
        </w:rPr>
        <w:t xml:space="preserve">, </w:t>
      </w:r>
      <w:r w:rsidR="339916D5" w:rsidRPr="55765628">
        <w:rPr>
          <w:rFonts w:ascii="Garamond" w:hAnsi="Garamond"/>
        </w:rPr>
        <w:t>questa</w:t>
      </w:r>
      <w:r w:rsidR="00F360A8">
        <w:rPr>
          <w:rFonts w:ascii="Garamond" w:hAnsi="Garamond"/>
        </w:rPr>
        <w:t>, d’intesa con la DG Politiche Attive,</w:t>
      </w:r>
      <w:r w:rsidR="339916D5" w:rsidRPr="55765628">
        <w:rPr>
          <w:rFonts w:ascii="Garamond" w:hAnsi="Garamond"/>
        </w:rPr>
        <w:t xml:space="preserve"> può revocare i contributi assegnati </w:t>
      </w:r>
      <w:r w:rsidR="008B3EB2">
        <w:rPr>
          <w:rFonts w:ascii="Garamond" w:hAnsi="Garamond"/>
        </w:rPr>
        <w:t>al Soggetto Attuatore</w:t>
      </w:r>
      <w:r w:rsidR="339916D5" w:rsidRPr="55765628">
        <w:rPr>
          <w:rFonts w:ascii="Garamond" w:hAnsi="Garamond"/>
        </w:rPr>
        <w:t xml:space="preserve"> per il loro finanziamento, riassegnando le pertinenti risorse a </w:t>
      </w:r>
      <w:r w:rsidR="008B3EB2">
        <w:rPr>
          <w:rFonts w:ascii="Garamond" w:hAnsi="Garamond"/>
        </w:rPr>
        <w:t>un diverso Soggetto Attuatore</w:t>
      </w:r>
      <w:r w:rsidR="339916D5" w:rsidRPr="55765628">
        <w:rPr>
          <w:rFonts w:ascii="Garamond" w:hAnsi="Garamond"/>
        </w:rPr>
        <w:t xml:space="preserve"> con le modalità previste dalla legislazione vigente.</w:t>
      </w:r>
    </w:p>
    <w:p w14:paraId="0BC87F25" w14:textId="0B583FE7" w:rsidR="00DB6020" w:rsidRPr="00ED264D" w:rsidRDefault="339916D5" w:rsidP="00F267A7">
      <w:pPr>
        <w:jc w:val="both"/>
        <w:rPr>
          <w:rFonts w:ascii="Garamond" w:hAnsi="Garamond"/>
        </w:rPr>
      </w:pPr>
      <w:r w:rsidRPr="55765628">
        <w:rPr>
          <w:rFonts w:ascii="Garamond" w:hAnsi="Garamond"/>
        </w:rPr>
        <w:t xml:space="preserve">2. Qualora l’inerzia risulti suscettibile di compromettere il conseguimento </w:t>
      </w:r>
      <w:r w:rsidR="00885FE2">
        <w:rPr>
          <w:rFonts w:ascii="Garamond" w:hAnsi="Garamond"/>
        </w:rPr>
        <w:t>dell’Obiettivo generale PNRR</w:t>
      </w:r>
      <w:r w:rsidR="00C654A7">
        <w:rPr>
          <w:rFonts w:ascii="Garamond" w:hAnsi="Garamond"/>
        </w:rPr>
        <w:t xml:space="preserve"> </w:t>
      </w:r>
      <w:r w:rsidRPr="55765628">
        <w:rPr>
          <w:rFonts w:ascii="Garamond" w:hAnsi="Garamond"/>
        </w:rPr>
        <w:t>sarà attivata la procedura stabilita dall’art.</w:t>
      </w:r>
      <w:r w:rsidR="00561457">
        <w:rPr>
          <w:rFonts w:ascii="Garamond" w:hAnsi="Garamond"/>
        </w:rPr>
        <w:t xml:space="preserve"> </w:t>
      </w:r>
      <w:r w:rsidRPr="55765628">
        <w:rPr>
          <w:rFonts w:ascii="Garamond" w:hAnsi="Garamond"/>
        </w:rPr>
        <w:t>12 del Decreto Legge del 31 maggio 2021, n. 77 convertito con modificazioni dalla legge di conversione del 29 luglio 2021, n. 108.</w:t>
      </w:r>
    </w:p>
    <w:p w14:paraId="1EBDE8A4" w14:textId="4E377419" w:rsidR="00DB6020" w:rsidRPr="00ED264D" w:rsidRDefault="339916D5" w:rsidP="00F267A7">
      <w:pPr>
        <w:jc w:val="both"/>
        <w:rPr>
          <w:rFonts w:ascii="Garamond" w:hAnsi="Garamond"/>
        </w:rPr>
      </w:pPr>
      <w:r w:rsidRPr="55765628">
        <w:rPr>
          <w:rFonts w:ascii="Garamond" w:hAnsi="Garamond"/>
        </w:rPr>
        <w:t xml:space="preserve">3. Nel caso in cui </w:t>
      </w:r>
      <w:r w:rsidR="008B3EB2">
        <w:rPr>
          <w:rFonts w:ascii="Garamond" w:hAnsi="Garamond"/>
        </w:rPr>
        <w:t>il Soggetto Attuatore</w:t>
      </w:r>
      <w:r w:rsidRPr="55765628">
        <w:rPr>
          <w:rFonts w:ascii="Garamond" w:hAnsi="Garamond"/>
        </w:rPr>
        <w:t xml:space="preserve"> non raggiunga </w:t>
      </w:r>
      <w:r w:rsidR="4D4363A8" w:rsidRPr="55765628">
        <w:rPr>
          <w:rFonts w:ascii="Garamond" w:hAnsi="Garamond"/>
          <w:color w:val="000000" w:themeColor="text1"/>
        </w:rPr>
        <w:t>gli Obiettivi</w:t>
      </w:r>
      <w:r w:rsidRPr="55765628">
        <w:rPr>
          <w:rFonts w:ascii="Garamond" w:hAnsi="Garamond"/>
          <w:color w:val="000000" w:themeColor="text1"/>
        </w:rPr>
        <w:t xml:space="preserve"> </w:t>
      </w:r>
      <w:r w:rsidRPr="55765628">
        <w:rPr>
          <w:rFonts w:ascii="Garamond" w:hAnsi="Garamond"/>
        </w:rPr>
        <w:t xml:space="preserve">finali previsti dal PNRR per l’attuazione degli interventi ad essa affidati, l’Amministrazione </w:t>
      </w:r>
      <w:r w:rsidR="00223F1F">
        <w:rPr>
          <w:rFonts w:ascii="Garamond" w:hAnsi="Garamond"/>
        </w:rPr>
        <w:t xml:space="preserve">centrale </w:t>
      </w:r>
      <w:r w:rsidRPr="55765628">
        <w:rPr>
          <w:rFonts w:ascii="Garamond" w:hAnsi="Garamond"/>
        </w:rPr>
        <w:t>titolare di interventi</w:t>
      </w:r>
      <w:r w:rsidR="00A74BF3">
        <w:rPr>
          <w:rFonts w:ascii="Garamond" w:hAnsi="Garamond"/>
        </w:rPr>
        <w:t xml:space="preserve"> PNRR</w:t>
      </w:r>
      <w:r w:rsidR="00F360A8">
        <w:rPr>
          <w:rFonts w:ascii="Garamond" w:hAnsi="Garamond"/>
        </w:rPr>
        <w:t xml:space="preserve">, </w:t>
      </w:r>
      <w:r w:rsidR="006828D1">
        <w:rPr>
          <w:rFonts w:ascii="Garamond" w:hAnsi="Garamond"/>
        </w:rPr>
        <w:t>sentiti</w:t>
      </w:r>
      <w:r w:rsidR="00F360A8">
        <w:rPr>
          <w:rFonts w:ascii="Garamond" w:hAnsi="Garamond"/>
        </w:rPr>
        <w:t xml:space="preserve"> la DG Politiche Attive e</w:t>
      </w:r>
      <w:r w:rsidR="00F360A8" w:rsidRPr="55765628">
        <w:rPr>
          <w:rFonts w:ascii="Garamond" w:hAnsi="Garamond"/>
        </w:rPr>
        <w:t xml:space="preserve"> </w:t>
      </w:r>
      <w:r w:rsidRPr="55765628">
        <w:rPr>
          <w:rFonts w:ascii="Garamond" w:hAnsi="Garamond"/>
        </w:rPr>
        <w:t xml:space="preserve"> il Servizio centrale di coordinamento del PNRR, può provvedere alla revoca dei contributi previsti per il loro finanziamento</w:t>
      </w:r>
      <w:r w:rsidR="49F161EF" w:rsidRPr="55765628">
        <w:rPr>
          <w:rFonts w:ascii="Garamond" w:hAnsi="Garamond"/>
        </w:rPr>
        <w:t>.</w:t>
      </w:r>
    </w:p>
    <w:p w14:paraId="4E51AABD" w14:textId="2AB855AD" w:rsidR="00F96136" w:rsidRDefault="00F96136" w:rsidP="00F71470">
      <w:pPr>
        <w:jc w:val="both"/>
        <w:rPr>
          <w:rFonts w:ascii="Garamond" w:hAnsi="Garamond"/>
        </w:rPr>
      </w:pPr>
    </w:p>
    <w:p w14:paraId="7CBB9926" w14:textId="77777777" w:rsidR="002361C3" w:rsidRPr="0077142B" w:rsidRDefault="002361C3" w:rsidP="00F71470">
      <w:pPr>
        <w:jc w:val="both"/>
        <w:rPr>
          <w:rFonts w:ascii="Garamond" w:hAnsi="Garamond"/>
        </w:rPr>
      </w:pPr>
    </w:p>
    <w:p w14:paraId="3B06B871" w14:textId="0BDEA1F1" w:rsidR="00ED264D" w:rsidRPr="00F96136" w:rsidRDefault="49F161EF" w:rsidP="00F71470">
      <w:pPr>
        <w:jc w:val="center"/>
        <w:rPr>
          <w:rFonts w:eastAsiaTheme="minorEastAsia"/>
          <w:b/>
          <w:bCs/>
        </w:rPr>
      </w:pPr>
      <w:r w:rsidRPr="00F96136">
        <w:rPr>
          <w:rFonts w:ascii="Garamond" w:hAnsi="Garamond"/>
          <w:b/>
          <w:bCs/>
        </w:rPr>
        <w:t>Articolo 11</w:t>
      </w:r>
    </w:p>
    <w:p w14:paraId="7363B144" w14:textId="47CDBE34" w:rsidR="00DB6020" w:rsidRPr="0077142B" w:rsidRDefault="00DB6020" w:rsidP="00223F1F">
      <w:pPr>
        <w:jc w:val="center"/>
        <w:rPr>
          <w:rFonts w:ascii="Garamond" w:hAnsi="Garamond"/>
          <w:b/>
          <w:bCs/>
        </w:rPr>
      </w:pPr>
      <w:r w:rsidRPr="0077142B">
        <w:rPr>
          <w:rFonts w:ascii="Garamond" w:hAnsi="Garamond"/>
          <w:b/>
          <w:bCs/>
        </w:rPr>
        <w:t>(Comunicazioni)</w:t>
      </w:r>
    </w:p>
    <w:p w14:paraId="6B85B870" w14:textId="77777777" w:rsidR="008F3E3A" w:rsidRPr="0077142B" w:rsidRDefault="008F3E3A" w:rsidP="00223F1F">
      <w:pPr>
        <w:jc w:val="both"/>
        <w:rPr>
          <w:rFonts w:ascii="Garamond" w:hAnsi="Garamond"/>
        </w:rPr>
      </w:pPr>
      <w:r w:rsidRPr="55765628">
        <w:rPr>
          <w:rFonts w:ascii="Garamond" w:hAnsi="Garamond"/>
        </w:rPr>
        <w:t>1. Tutte le comunicazioni fra le parti devono essere inviate, salva diversa espressa previsione, per iscritto ai rispettivi indirizzi di posta elettronica, qui di seguito precisati:</w:t>
      </w:r>
    </w:p>
    <w:p w14:paraId="04019342" w14:textId="77777777" w:rsidR="008F3E3A" w:rsidRPr="00F96136" w:rsidRDefault="008F3E3A" w:rsidP="00E8765B">
      <w:pPr>
        <w:pStyle w:val="Paragrafoelenco"/>
        <w:numPr>
          <w:ilvl w:val="0"/>
          <w:numId w:val="2"/>
        </w:numPr>
        <w:jc w:val="both"/>
        <w:rPr>
          <w:rFonts w:eastAsiaTheme="minorEastAsia"/>
        </w:rPr>
      </w:pPr>
      <w:r w:rsidRPr="7D979DFE">
        <w:rPr>
          <w:rFonts w:ascii="Garamond" w:hAnsi="Garamond"/>
        </w:rPr>
        <w:t xml:space="preserve">per l’Unità di Missione per l’attuazione degli interventi PNRR, presso il Ministero del Lavoro e delle Politiche Sociali: </w:t>
      </w:r>
      <w:hyperlink r:id="rId11">
        <w:r w:rsidRPr="7D979DFE">
          <w:rPr>
            <w:rStyle w:val="Collegamentoipertestuale"/>
            <w:rFonts w:ascii="Garamond" w:hAnsi="Garamond"/>
          </w:rPr>
          <w:t>unitadimissionepnrr@pec.lavoro.gov.it</w:t>
        </w:r>
      </w:hyperlink>
    </w:p>
    <w:p w14:paraId="4B7AF41D" w14:textId="4712982B" w:rsidR="008F3E3A" w:rsidRPr="00F96136" w:rsidRDefault="008F3E3A" w:rsidP="00E8765B">
      <w:pPr>
        <w:pStyle w:val="Paragrafoelenco"/>
        <w:numPr>
          <w:ilvl w:val="0"/>
          <w:numId w:val="2"/>
        </w:numPr>
        <w:jc w:val="both"/>
        <w:rPr>
          <w:rFonts w:ascii="Garamond" w:hAnsi="Garamond"/>
        </w:rPr>
      </w:pPr>
      <w:r w:rsidRPr="62E88E0E">
        <w:rPr>
          <w:rFonts w:ascii="Garamond" w:hAnsi="Garamond"/>
        </w:rPr>
        <w:t xml:space="preserve">per </w:t>
      </w:r>
      <w:r w:rsidR="00596440">
        <w:rPr>
          <w:rFonts w:ascii="Garamond" w:hAnsi="Garamond"/>
        </w:rPr>
        <w:t xml:space="preserve">la </w:t>
      </w:r>
      <w:r w:rsidRPr="62E88E0E">
        <w:rPr>
          <w:rFonts w:ascii="Garamond" w:hAnsi="Garamond"/>
        </w:rPr>
        <w:t>DG Politiche Attive:</w:t>
      </w:r>
      <w:r w:rsidR="00A51BA9">
        <w:rPr>
          <w:rFonts w:ascii="Garamond" w:hAnsi="Garamond"/>
        </w:rPr>
        <w:t xml:space="preserve"> </w:t>
      </w:r>
      <w:r w:rsidR="00320CC0" w:rsidRPr="00B50345">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dgpoliticheattivelavoro@pec.lavoro.gov.it</w:t>
      </w:r>
    </w:p>
    <w:p w14:paraId="46F3CBA9" w14:textId="1024EA34" w:rsidR="008F3E3A" w:rsidRPr="00F96136" w:rsidRDefault="008F3E3A" w:rsidP="00E8765B">
      <w:pPr>
        <w:pStyle w:val="Paragrafoelenco"/>
        <w:numPr>
          <w:ilvl w:val="0"/>
          <w:numId w:val="2"/>
        </w:numPr>
        <w:jc w:val="both"/>
        <w:rPr>
          <w:rFonts w:ascii="Garamond" w:hAnsi="Garamond"/>
        </w:rPr>
      </w:pPr>
      <w:r w:rsidRPr="62E88E0E">
        <w:rPr>
          <w:rFonts w:ascii="Garamond" w:hAnsi="Garamond"/>
        </w:rPr>
        <w:t>per la Regione</w:t>
      </w:r>
      <w:r w:rsidR="00A74BF3">
        <w:rPr>
          <w:rFonts w:ascii="Garamond" w:hAnsi="Garamond"/>
        </w:rPr>
        <w:t>/Provincia autonom</w:t>
      </w:r>
      <w:r w:rsidR="009664E8">
        <w:rPr>
          <w:rFonts w:ascii="Garamond" w:hAnsi="Garamond"/>
        </w:rPr>
        <w:t>a</w:t>
      </w:r>
      <w:r w:rsidR="00BB31EF">
        <w:rPr>
          <w:rFonts w:ascii="Garamond" w:hAnsi="Garamond"/>
        </w:rPr>
        <w:t>:</w:t>
      </w:r>
      <w:r w:rsidR="00B50345" w:rsidRPr="00B50345">
        <w:t xml:space="preserve"> </w:t>
      </w:r>
      <w:r w:rsidR="00F577F8">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w:t>
      </w:r>
    </w:p>
    <w:p w14:paraId="11760828" w14:textId="1C90F367" w:rsidR="00F96136" w:rsidRDefault="00F96136" w:rsidP="00E8765B">
      <w:pPr>
        <w:jc w:val="both"/>
        <w:rPr>
          <w:rFonts w:ascii="Garamond" w:hAnsi="Garamond"/>
        </w:rPr>
      </w:pPr>
    </w:p>
    <w:p w14:paraId="7FD68132" w14:textId="632756A5" w:rsidR="00F577F8" w:rsidRDefault="00F577F8" w:rsidP="00E8765B">
      <w:pPr>
        <w:jc w:val="both"/>
        <w:rPr>
          <w:rFonts w:ascii="Garamond" w:hAnsi="Garamond"/>
        </w:rPr>
      </w:pPr>
    </w:p>
    <w:p w14:paraId="7733DEF7" w14:textId="1BFDA092" w:rsidR="00F577F8" w:rsidRDefault="00F577F8" w:rsidP="00E8765B">
      <w:pPr>
        <w:jc w:val="both"/>
        <w:rPr>
          <w:rFonts w:ascii="Garamond" w:hAnsi="Garamond"/>
        </w:rPr>
      </w:pPr>
    </w:p>
    <w:p w14:paraId="6C05B7CF" w14:textId="77777777" w:rsidR="00F577F8" w:rsidRPr="00F96136" w:rsidRDefault="00F577F8" w:rsidP="00E8765B">
      <w:pPr>
        <w:jc w:val="both"/>
        <w:rPr>
          <w:rFonts w:ascii="Garamond" w:hAnsi="Garamond"/>
        </w:rPr>
      </w:pPr>
    </w:p>
    <w:p w14:paraId="4BE59F14" w14:textId="77777777" w:rsidR="00DB6020" w:rsidRPr="0077142B" w:rsidRDefault="00DB6020" w:rsidP="00B75623">
      <w:pPr>
        <w:jc w:val="center"/>
        <w:rPr>
          <w:rFonts w:ascii="Garamond" w:hAnsi="Garamond"/>
          <w:b/>
          <w:bCs/>
        </w:rPr>
      </w:pPr>
      <w:r w:rsidRPr="0077142B">
        <w:rPr>
          <w:rFonts w:ascii="Garamond" w:hAnsi="Garamond"/>
          <w:b/>
          <w:bCs/>
        </w:rPr>
        <w:t>Articolo 12</w:t>
      </w:r>
    </w:p>
    <w:p w14:paraId="431494B0" w14:textId="4B5C60BF" w:rsidR="00DB6020" w:rsidRPr="0077142B" w:rsidRDefault="00DB6020" w:rsidP="00B75623">
      <w:pPr>
        <w:jc w:val="center"/>
        <w:rPr>
          <w:rFonts w:ascii="Garamond" w:hAnsi="Garamond"/>
          <w:b/>
          <w:bCs/>
        </w:rPr>
      </w:pPr>
      <w:r w:rsidRPr="0077142B">
        <w:rPr>
          <w:rFonts w:ascii="Garamond" w:hAnsi="Garamond"/>
          <w:b/>
          <w:bCs/>
        </w:rPr>
        <w:t>(Durata)</w:t>
      </w:r>
    </w:p>
    <w:p w14:paraId="67475C0D" w14:textId="5E4664DE" w:rsidR="00DB6020" w:rsidRPr="0077142B" w:rsidRDefault="49F161EF" w:rsidP="00B75623">
      <w:pPr>
        <w:jc w:val="both"/>
        <w:rPr>
          <w:rFonts w:ascii="Garamond" w:hAnsi="Garamond"/>
        </w:rPr>
      </w:pPr>
      <w:r w:rsidRPr="55765628">
        <w:rPr>
          <w:rFonts w:ascii="Garamond" w:hAnsi="Garamond"/>
        </w:rPr>
        <w:t xml:space="preserve">1. Il presente </w:t>
      </w:r>
      <w:r w:rsidR="009664E8">
        <w:rPr>
          <w:rFonts w:ascii="Garamond" w:hAnsi="Garamond"/>
        </w:rPr>
        <w:t>A</w:t>
      </w:r>
      <w:r w:rsidRPr="55765628">
        <w:rPr>
          <w:rFonts w:ascii="Garamond" w:hAnsi="Garamond"/>
        </w:rPr>
        <w:t xml:space="preserve">ccordo decorre dalla data di stipula e scadrà al </w:t>
      </w:r>
      <w:r w:rsidR="2E69A42B" w:rsidRPr="55765628">
        <w:rPr>
          <w:rFonts w:ascii="Garamond" w:hAnsi="Garamond"/>
        </w:rPr>
        <w:t xml:space="preserve">conseguimento </w:t>
      </w:r>
      <w:r w:rsidR="00885FE2">
        <w:rPr>
          <w:rFonts w:ascii="Garamond" w:hAnsi="Garamond"/>
        </w:rPr>
        <w:t>dell’Obiettivo generale PNRR</w:t>
      </w:r>
      <w:r w:rsidR="00BB31EF">
        <w:rPr>
          <w:rFonts w:ascii="Garamond" w:hAnsi="Garamond"/>
        </w:rPr>
        <w:t xml:space="preserve"> </w:t>
      </w:r>
      <w:r w:rsidR="2E69A42B" w:rsidRPr="55765628">
        <w:rPr>
          <w:rFonts w:ascii="Garamond" w:hAnsi="Garamond"/>
        </w:rPr>
        <w:t xml:space="preserve">e al </w:t>
      </w:r>
      <w:r w:rsidRPr="55765628">
        <w:rPr>
          <w:rFonts w:ascii="Garamond" w:hAnsi="Garamond"/>
        </w:rPr>
        <w:t>completamento fisico e finanziario de</w:t>
      </w:r>
      <w:r w:rsidR="2E69A42B" w:rsidRPr="55765628">
        <w:rPr>
          <w:rFonts w:ascii="Garamond" w:hAnsi="Garamond"/>
        </w:rPr>
        <w:t>gli interventi</w:t>
      </w:r>
      <w:r w:rsidRPr="55765628">
        <w:rPr>
          <w:rFonts w:ascii="Garamond" w:hAnsi="Garamond"/>
        </w:rPr>
        <w:t>.</w:t>
      </w:r>
    </w:p>
    <w:p w14:paraId="37A35436" w14:textId="4BBB0645" w:rsidR="00DB6020" w:rsidRPr="0077142B" w:rsidRDefault="49F161EF" w:rsidP="00D64458">
      <w:pPr>
        <w:jc w:val="both"/>
        <w:rPr>
          <w:rFonts w:ascii="Garamond" w:hAnsi="Garamond"/>
        </w:rPr>
      </w:pPr>
      <w:r w:rsidRPr="55765628">
        <w:rPr>
          <w:rFonts w:ascii="Garamond" w:hAnsi="Garamond"/>
        </w:rPr>
        <w:t xml:space="preserve">2. </w:t>
      </w:r>
      <w:r w:rsidR="008B3EB2">
        <w:rPr>
          <w:rFonts w:ascii="Garamond" w:hAnsi="Garamond"/>
        </w:rPr>
        <w:t>Il Soggetto Attuatore</w:t>
      </w:r>
      <w:r w:rsidRPr="55765628">
        <w:rPr>
          <w:rFonts w:ascii="Garamond" w:hAnsi="Garamond"/>
        </w:rPr>
        <w:t xml:space="preserve"> è comunque obbligat</w:t>
      </w:r>
      <w:r w:rsidR="008B3EB2">
        <w:rPr>
          <w:rFonts w:ascii="Garamond" w:hAnsi="Garamond"/>
        </w:rPr>
        <w:t>o</w:t>
      </w:r>
      <w:r w:rsidRPr="55765628">
        <w:rPr>
          <w:rFonts w:ascii="Garamond" w:hAnsi="Garamond"/>
        </w:rPr>
        <w:t xml:space="preserve"> ad assicurare la disponibilità della documentazione e di ogni altra informazione richiesta nell’espletamento dei controlli anche comunitari eseguiti successivamente alla conclusione de</w:t>
      </w:r>
      <w:r w:rsidR="2E69A42B" w:rsidRPr="55765628">
        <w:rPr>
          <w:rFonts w:ascii="Garamond" w:hAnsi="Garamond"/>
        </w:rPr>
        <w:t>gli interventi, in conformità alla normativa comunitaria</w:t>
      </w:r>
      <w:r w:rsidRPr="55765628">
        <w:rPr>
          <w:rFonts w:ascii="Garamond" w:hAnsi="Garamond"/>
        </w:rPr>
        <w:t>.</w:t>
      </w:r>
    </w:p>
    <w:p w14:paraId="4EA085A4" w14:textId="77777777" w:rsidR="00141174" w:rsidRPr="0077142B" w:rsidRDefault="00141174" w:rsidP="004D256D">
      <w:pPr>
        <w:jc w:val="both"/>
        <w:rPr>
          <w:rFonts w:ascii="Garamond" w:hAnsi="Garamond"/>
        </w:rPr>
      </w:pPr>
    </w:p>
    <w:p w14:paraId="7CACE796" w14:textId="77777777" w:rsidR="00DB6020" w:rsidRPr="0077142B" w:rsidRDefault="00DB6020" w:rsidP="004D256D">
      <w:pPr>
        <w:jc w:val="center"/>
        <w:rPr>
          <w:rFonts w:ascii="Garamond" w:hAnsi="Garamond"/>
          <w:b/>
          <w:bCs/>
        </w:rPr>
      </w:pPr>
      <w:r w:rsidRPr="0077142B">
        <w:rPr>
          <w:rFonts w:ascii="Garamond" w:hAnsi="Garamond"/>
          <w:b/>
          <w:bCs/>
        </w:rPr>
        <w:t>Articolo 13</w:t>
      </w:r>
    </w:p>
    <w:p w14:paraId="103D713D" w14:textId="4200B09E" w:rsidR="00DB6020" w:rsidRDefault="00DB6020" w:rsidP="001178EF">
      <w:pPr>
        <w:jc w:val="center"/>
        <w:rPr>
          <w:rFonts w:ascii="Garamond" w:hAnsi="Garamond"/>
          <w:b/>
          <w:bCs/>
        </w:rPr>
      </w:pPr>
      <w:r w:rsidRPr="0077142B">
        <w:rPr>
          <w:rFonts w:ascii="Garamond" w:hAnsi="Garamond"/>
          <w:b/>
          <w:bCs/>
        </w:rPr>
        <w:t>(Disposizioni finali)</w:t>
      </w:r>
    </w:p>
    <w:p w14:paraId="38F9B4F3" w14:textId="21FEDAA8" w:rsidR="005F2A91" w:rsidRPr="0077142B" w:rsidRDefault="005F2A91" w:rsidP="001178EF">
      <w:pPr>
        <w:jc w:val="both"/>
        <w:rPr>
          <w:rFonts w:ascii="Garamond" w:hAnsi="Garamond"/>
        </w:rPr>
      </w:pPr>
      <w:r w:rsidRPr="55765628">
        <w:rPr>
          <w:rFonts w:ascii="Garamond" w:hAnsi="Garamond"/>
        </w:rPr>
        <w:t xml:space="preserve">1. Le parti convengono che il presente </w:t>
      </w:r>
      <w:r w:rsidR="009664E8">
        <w:rPr>
          <w:rFonts w:ascii="Garamond" w:hAnsi="Garamond"/>
        </w:rPr>
        <w:t>A</w:t>
      </w:r>
      <w:r w:rsidRPr="55765628">
        <w:rPr>
          <w:rFonts w:ascii="Garamond" w:hAnsi="Garamond"/>
        </w:rPr>
        <w:t>ccordo è il risultato di una negoziazione volta al perseguimento di un interesse comune e di una specifica condivisione tra le stesse con riferimento ad ogni singola clausola.</w:t>
      </w:r>
    </w:p>
    <w:p w14:paraId="5E9F9C5A" w14:textId="491716DA" w:rsidR="005F2A91" w:rsidRPr="0077142B" w:rsidRDefault="005F2A91" w:rsidP="001178EF">
      <w:pPr>
        <w:jc w:val="both"/>
        <w:rPr>
          <w:rFonts w:ascii="Garamond" w:hAnsi="Garamond"/>
        </w:rPr>
      </w:pPr>
      <w:r w:rsidRPr="55765628">
        <w:rPr>
          <w:rFonts w:ascii="Garamond" w:hAnsi="Garamond"/>
        </w:rPr>
        <w:t xml:space="preserve">2. Il presente </w:t>
      </w:r>
      <w:r w:rsidR="009664E8">
        <w:rPr>
          <w:rFonts w:ascii="Garamond" w:hAnsi="Garamond"/>
        </w:rPr>
        <w:t>A</w:t>
      </w:r>
      <w:r w:rsidRPr="55765628">
        <w:rPr>
          <w:rFonts w:ascii="Garamond" w:hAnsi="Garamond"/>
        </w:rPr>
        <w:t>ccordo, dovrà essere registrato presso i competenti organi di controllo qualora previsto.</w:t>
      </w:r>
    </w:p>
    <w:p w14:paraId="6380C198" w14:textId="5D71F38B" w:rsidR="005F2A91" w:rsidRPr="0077142B" w:rsidRDefault="005F2A91" w:rsidP="001178EF">
      <w:pPr>
        <w:jc w:val="both"/>
        <w:rPr>
          <w:rFonts w:ascii="Garamond" w:hAnsi="Garamond"/>
        </w:rPr>
      </w:pPr>
      <w:r w:rsidRPr="55765628">
        <w:rPr>
          <w:rFonts w:ascii="Garamond" w:hAnsi="Garamond"/>
        </w:rPr>
        <w:t>3. Il presente atto si compone di 13 articoli ed è sottoscritto digitalmente</w:t>
      </w:r>
      <w:r w:rsidR="007A7801">
        <w:rPr>
          <w:rFonts w:ascii="Garamond" w:hAnsi="Garamond"/>
        </w:rPr>
        <w:t>.</w:t>
      </w:r>
    </w:p>
    <w:tbl>
      <w:tblPr>
        <w:tblStyle w:val="Grigliatabella"/>
        <w:tblpPr w:leftFromText="141" w:rightFromText="141" w:vertAnchor="text" w:horzAnchor="margin" w:tblpY="184"/>
        <w:tblW w:w="9351" w:type="dxa"/>
        <w:tblLook w:val="04A0" w:firstRow="1" w:lastRow="0" w:firstColumn="1" w:lastColumn="0" w:noHBand="0" w:noVBand="1"/>
      </w:tblPr>
      <w:tblGrid>
        <w:gridCol w:w="2972"/>
        <w:gridCol w:w="3402"/>
        <w:gridCol w:w="2977"/>
      </w:tblGrid>
      <w:tr w:rsidR="005F2A91" w:rsidRPr="0077142B" w14:paraId="36500CD0" w14:textId="77777777" w:rsidTr="00ED34C3">
        <w:trPr>
          <w:trHeight w:val="657"/>
        </w:trPr>
        <w:tc>
          <w:tcPr>
            <w:tcW w:w="2972" w:type="dxa"/>
          </w:tcPr>
          <w:p w14:paraId="6F6C8C41" w14:textId="77777777" w:rsidR="005F2A91" w:rsidRPr="0077142B" w:rsidRDefault="005F2A91" w:rsidP="00E8765B">
            <w:pPr>
              <w:spacing w:after="160" w:line="259" w:lineRule="auto"/>
              <w:jc w:val="both"/>
              <w:rPr>
                <w:rFonts w:ascii="Garamond" w:hAnsi="Garamond"/>
              </w:rPr>
            </w:pPr>
            <w:r w:rsidRPr="0077142B">
              <w:rPr>
                <w:rFonts w:ascii="Garamond" w:hAnsi="Garamond"/>
              </w:rPr>
              <w:t>Per l’Amministrazione</w:t>
            </w:r>
          </w:p>
        </w:tc>
        <w:tc>
          <w:tcPr>
            <w:tcW w:w="3402" w:type="dxa"/>
          </w:tcPr>
          <w:p w14:paraId="324D9878" w14:textId="77777777" w:rsidR="005F2A91" w:rsidRPr="0077142B" w:rsidRDefault="005F2A91" w:rsidP="00E8765B">
            <w:pPr>
              <w:spacing w:after="160" w:line="259" w:lineRule="auto"/>
              <w:jc w:val="both"/>
              <w:rPr>
                <w:rFonts w:ascii="Garamond" w:hAnsi="Garamond"/>
              </w:rPr>
            </w:pPr>
            <w:r w:rsidRPr="0077142B">
              <w:rPr>
                <w:rFonts w:ascii="Garamond" w:hAnsi="Garamond"/>
              </w:rPr>
              <w:t>Per l’Amministrazione</w:t>
            </w:r>
          </w:p>
        </w:tc>
        <w:tc>
          <w:tcPr>
            <w:tcW w:w="2977" w:type="dxa"/>
          </w:tcPr>
          <w:p w14:paraId="65DEFB00" w14:textId="77777777" w:rsidR="005F2A91" w:rsidRPr="0077142B" w:rsidRDefault="005F2A91" w:rsidP="00E8765B">
            <w:pPr>
              <w:spacing w:after="160" w:line="259" w:lineRule="auto"/>
              <w:jc w:val="both"/>
              <w:rPr>
                <w:rFonts w:ascii="Garamond" w:hAnsi="Garamond"/>
              </w:rPr>
            </w:pPr>
            <w:r w:rsidRPr="0077142B">
              <w:rPr>
                <w:rFonts w:ascii="Garamond" w:hAnsi="Garamond"/>
              </w:rPr>
              <w:t>Per l’Amministrazione</w:t>
            </w:r>
          </w:p>
        </w:tc>
      </w:tr>
      <w:tr w:rsidR="005F2A91" w:rsidRPr="0077142B" w14:paraId="38E69DC8" w14:textId="77777777" w:rsidTr="00ED34C3">
        <w:trPr>
          <w:trHeight w:val="1334"/>
        </w:trPr>
        <w:tc>
          <w:tcPr>
            <w:tcW w:w="2972" w:type="dxa"/>
          </w:tcPr>
          <w:p w14:paraId="38084AED" w14:textId="77777777" w:rsidR="005F2A91" w:rsidRPr="0077142B" w:rsidRDefault="005F2A91" w:rsidP="00E8765B">
            <w:pPr>
              <w:spacing w:after="160" w:line="259" w:lineRule="auto"/>
              <w:jc w:val="both"/>
              <w:rPr>
                <w:rFonts w:ascii="Garamond" w:hAnsi="Garamond"/>
              </w:rPr>
            </w:pPr>
            <w:r w:rsidRPr="05C5609D">
              <w:rPr>
                <w:rFonts w:ascii="Garamond" w:hAnsi="Garamond"/>
              </w:rPr>
              <w:t>Unità di Missione per l’attuazione degli interventi PNRR - MLPS</w:t>
            </w:r>
          </w:p>
        </w:tc>
        <w:tc>
          <w:tcPr>
            <w:tcW w:w="3402" w:type="dxa"/>
          </w:tcPr>
          <w:p w14:paraId="312F24E4" w14:textId="77777777" w:rsidR="005F2A91" w:rsidRPr="0077142B" w:rsidRDefault="005F2A91" w:rsidP="00E8765B">
            <w:pPr>
              <w:spacing w:after="160" w:line="259" w:lineRule="auto"/>
              <w:jc w:val="both"/>
              <w:rPr>
                <w:rFonts w:ascii="Garamond" w:hAnsi="Garamond"/>
              </w:rPr>
            </w:pPr>
            <w:r w:rsidRPr="62E88E0E">
              <w:rPr>
                <w:rFonts w:ascii="Garamond" w:hAnsi="Garamond"/>
              </w:rPr>
              <w:t>DG Politiche Attive - MLPS</w:t>
            </w:r>
          </w:p>
        </w:tc>
        <w:tc>
          <w:tcPr>
            <w:tcW w:w="2977" w:type="dxa"/>
          </w:tcPr>
          <w:p w14:paraId="78A6FA8B" w14:textId="73398DA0" w:rsidR="005F2A91" w:rsidRPr="0077142B" w:rsidRDefault="00B50345" w:rsidP="00E8765B">
            <w:pPr>
              <w:spacing w:after="160" w:line="259" w:lineRule="auto"/>
              <w:jc w:val="both"/>
              <w:rPr>
                <w:rFonts w:ascii="Garamond" w:hAnsi="Garamond"/>
              </w:rPr>
            </w:pPr>
            <w:r>
              <w:rPr>
                <w:rFonts w:ascii="Garamond" w:hAnsi="Garamond"/>
              </w:rPr>
              <w:t>Regione</w:t>
            </w:r>
          </w:p>
        </w:tc>
      </w:tr>
      <w:tr w:rsidR="005F2A91" w:rsidRPr="0077142B" w14:paraId="44D065ED" w14:textId="77777777" w:rsidTr="00ED34C3">
        <w:trPr>
          <w:trHeight w:val="657"/>
        </w:trPr>
        <w:tc>
          <w:tcPr>
            <w:tcW w:w="2972" w:type="dxa"/>
          </w:tcPr>
          <w:p w14:paraId="023FE218" w14:textId="6FB013A4" w:rsidR="005F2A91" w:rsidRPr="0077142B" w:rsidRDefault="005F2A91" w:rsidP="00E8765B">
            <w:pPr>
              <w:spacing w:after="160" w:line="259" w:lineRule="auto"/>
              <w:jc w:val="both"/>
              <w:rPr>
                <w:rFonts w:ascii="Garamond" w:hAnsi="Garamond"/>
              </w:rPr>
            </w:pPr>
            <w:r w:rsidRPr="0077142B">
              <w:rPr>
                <w:rFonts w:ascii="Garamond" w:hAnsi="Garamond"/>
              </w:rPr>
              <w:t>Dott.ssa</w:t>
            </w:r>
            <w:r w:rsidR="0044374B">
              <w:rPr>
                <w:rFonts w:ascii="Garamond" w:hAnsi="Garamond"/>
              </w:rPr>
              <w:t xml:space="preserve"> Marianna D’Angelo</w:t>
            </w:r>
          </w:p>
        </w:tc>
        <w:tc>
          <w:tcPr>
            <w:tcW w:w="3402" w:type="dxa"/>
          </w:tcPr>
          <w:p w14:paraId="67D15D6D" w14:textId="138E9376" w:rsidR="005F2A91" w:rsidRPr="0077142B" w:rsidRDefault="005F2A91" w:rsidP="00E8765B">
            <w:pPr>
              <w:spacing w:after="160" w:line="259" w:lineRule="auto"/>
              <w:jc w:val="both"/>
              <w:rPr>
                <w:rFonts w:ascii="Garamond" w:hAnsi="Garamond"/>
              </w:rPr>
            </w:pPr>
            <w:r w:rsidRPr="0077142B">
              <w:rPr>
                <w:rFonts w:ascii="Garamond" w:hAnsi="Garamond"/>
              </w:rPr>
              <w:t>Dott.ss</w:t>
            </w:r>
            <w:r w:rsidR="0044374B">
              <w:rPr>
                <w:rFonts w:ascii="Garamond" w:hAnsi="Garamond"/>
              </w:rPr>
              <w:t>a Anita Pisarro</w:t>
            </w:r>
          </w:p>
        </w:tc>
        <w:tc>
          <w:tcPr>
            <w:tcW w:w="2977" w:type="dxa"/>
          </w:tcPr>
          <w:p w14:paraId="65FA0CF8" w14:textId="01FB30EF" w:rsidR="005F2A91" w:rsidRPr="0077142B" w:rsidRDefault="005F2A91" w:rsidP="00E8765B">
            <w:pPr>
              <w:spacing w:after="160" w:line="259" w:lineRule="auto"/>
              <w:jc w:val="both"/>
              <w:rPr>
                <w:rFonts w:ascii="Garamond" w:hAnsi="Garamond"/>
              </w:rPr>
            </w:pPr>
          </w:p>
        </w:tc>
      </w:tr>
    </w:tbl>
    <w:p w14:paraId="09E31B27" w14:textId="19828904" w:rsidR="005F2A91" w:rsidRPr="0077142B" w:rsidRDefault="00FB31C2" w:rsidP="00B75623">
      <w:pPr>
        <w:jc w:val="both"/>
        <w:rPr>
          <w:rFonts w:ascii="Garamond" w:hAnsi="Garamond"/>
        </w:rPr>
      </w:pPr>
      <w:r>
        <w:rPr>
          <w:rFonts w:ascii="Garamond" w:hAnsi="Garamond"/>
        </w:rPr>
        <w:t xml:space="preserve"> </w:t>
      </w:r>
    </w:p>
    <w:p w14:paraId="1BFAE61C" w14:textId="2370E9B9" w:rsidR="00DB6020" w:rsidRPr="0077142B" w:rsidRDefault="00CB65E4" w:rsidP="00FB31C2">
      <w:pPr>
        <w:jc w:val="both"/>
        <w:rPr>
          <w:rFonts w:ascii="Garamond" w:hAnsi="Garamond"/>
          <w:i/>
          <w:sz w:val="24"/>
        </w:rPr>
      </w:pPr>
      <w:r>
        <w:rPr>
          <w:rFonts w:ascii="Garamond" w:hAnsi="Garamond"/>
        </w:rPr>
        <w:t xml:space="preserve"> </w:t>
      </w:r>
      <w:r w:rsidR="00D915B9" w:rsidRPr="0077142B">
        <w:rPr>
          <w:rFonts w:ascii="Garamond" w:hAnsi="Garamond"/>
          <w:i/>
          <w:sz w:val="24"/>
        </w:rPr>
        <w:t>*</w:t>
      </w:r>
      <w:r w:rsidR="00D915B9" w:rsidRPr="0077142B">
        <w:rPr>
          <w:rFonts w:ascii="Garamond" w:hAnsi="Garamond"/>
          <w:i/>
          <w:spacing w:val="-8"/>
          <w:sz w:val="24"/>
        </w:rPr>
        <w:t xml:space="preserve"> </w:t>
      </w:r>
      <w:r w:rsidR="00D915B9" w:rsidRPr="0077142B">
        <w:rPr>
          <w:rFonts w:ascii="Garamond" w:hAnsi="Garamond"/>
          <w:i/>
          <w:sz w:val="24"/>
        </w:rPr>
        <w:t>Il</w:t>
      </w:r>
      <w:r w:rsidR="00D915B9" w:rsidRPr="0077142B">
        <w:rPr>
          <w:rFonts w:ascii="Garamond" w:hAnsi="Garamond"/>
          <w:i/>
          <w:spacing w:val="-8"/>
          <w:sz w:val="24"/>
        </w:rPr>
        <w:t xml:space="preserve"> </w:t>
      </w:r>
      <w:r w:rsidR="00D915B9" w:rsidRPr="0077142B">
        <w:rPr>
          <w:rFonts w:ascii="Garamond" w:hAnsi="Garamond"/>
          <w:i/>
          <w:sz w:val="24"/>
        </w:rPr>
        <w:t>presente</w:t>
      </w:r>
      <w:r w:rsidR="00D915B9" w:rsidRPr="0077142B">
        <w:rPr>
          <w:rFonts w:ascii="Garamond" w:hAnsi="Garamond"/>
          <w:i/>
          <w:spacing w:val="-7"/>
          <w:sz w:val="24"/>
        </w:rPr>
        <w:t xml:space="preserve"> </w:t>
      </w:r>
      <w:r w:rsidR="00D915B9" w:rsidRPr="0077142B">
        <w:rPr>
          <w:rFonts w:ascii="Garamond" w:hAnsi="Garamond"/>
          <w:i/>
          <w:sz w:val="24"/>
        </w:rPr>
        <w:t>accordo</w:t>
      </w:r>
      <w:r w:rsidR="00D915B9" w:rsidRPr="0077142B">
        <w:rPr>
          <w:rFonts w:ascii="Garamond" w:hAnsi="Garamond"/>
          <w:i/>
          <w:spacing w:val="-7"/>
          <w:sz w:val="24"/>
        </w:rPr>
        <w:t xml:space="preserve"> </w:t>
      </w:r>
      <w:r w:rsidR="00D915B9" w:rsidRPr="0077142B">
        <w:rPr>
          <w:rFonts w:ascii="Garamond" w:hAnsi="Garamond"/>
          <w:i/>
          <w:sz w:val="24"/>
        </w:rPr>
        <w:t>è</w:t>
      </w:r>
      <w:r w:rsidR="00D915B9" w:rsidRPr="0077142B">
        <w:rPr>
          <w:rFonts w:ascii="Garamond" w:hAnsi="Garamond"/>
          <w:i/>
          <w:spacing w:val="-8"/>
          <w:sz w:val="24"/>
        </w:rPr>
        <w:t xml:space="preserve"> </w:t>
      </w:r>
      <w:r w:rsidR="00D915B9" w:rsidRPr="0077142B">
        <w:rPr>
          <w:rFonts w:ascii="Garamond" w:hAnsi="Garamond"/>
          <w:i/>
          <w:sz w:val="24"/>
        </w:rPr>
        <w:t>sottoscritto</w:t>
      </w:r>
      <w:r w:rsidR="00D915B9" w:rsidRPr="0077142B">
        <w:rPr>
          <w:rFonts w:ascii="Garamond" w:hAnsi="Garamond"/>
          <w:i/>
          <w:spacing w:val="-7"/>
          <w:sz w:val="24"/>
        </w:rPr>
        <w:t xml:space="preserve"> </w:t>
      </w:r>
      <w:r w:rsidR="00D915B9" w:rsidRPr="0077142B">
        <w:rPr>
          <w:rFonts w:ascii="Garamond" w:hAnsi="Garamond"/>
          <w:i/>
          <w:sz w:val="24"/>
        </w:rPr>
        <w:t>con</w:t>
      </w:r>
      <w:r w:rsidR="00D915B9" w:rsidRPr="0077142B">
        <w:rPr>
          <w:rFonts w:ascii="Garamond" w:hAnsi="Garamond"/>
          <w:i/>
          <w:spacing w:val="-8"/>
          <w:sz w:val="24"/>
        </w:rPr>
        <w:t xml:space="preserve"> </w:t>
      </w:r>
      <w:r w:rsidR="00D915B9" w:rsidRPr="0077142B">
        <w:rPr>
          <w:rFonts w:ascii="Garamond" w:hAnsi="Garamond"/>
          <w:i/>
          <w:sz w:val="24"/>
        </w:rPr>
        <w:t>firma</w:t>
      </w:r>
      <w:r w:rsidR="00D915B9" w:rsidRPr="0077142B">
        <w:rPr>
          <w:rFonts w:ascii="Garamond" w:hAnsi="Garamond"/>
          <w:i/>
          <w:spacing w:val="-8"/>
          <w:sz w:val="24"/>
        </w:rPr>
        <w:t xml:space="preserve"> </w:t>
      </w:r>
      <w:r w:rsidR="00D915B9" w:rsidRPr="0077142B">
        <w:rPr>
          <w:rFonts w:ascii="Garamond" w:hAnsi="Garamond"/>
          <w:i/>
          <w:sz w:val="24"/>
        </w:rPr>
        <w:t>digitale</w:t>
      </w:r>
      <w:r w:rsidR="00D915B9" w:rsidRPr="0077142B">
        <w:rPr>
          <w:rFonts w:ascii="Garamond" w:hAnsi="Garamond"/>
          <w:i/>
          <w:spacing w:val="-7"/>
          <w:sz w:val="24"/>
        </w:rPr>
        <w:t xml:space="preserve"> </w:t>
      </w:r>
      <w:r w:rsidR="00D915B9" w:rsidRPr="0077142B">
        <w:rPr>
          <w:rFonts w:ascii="Garamond" w:hAnsi="Garamond"/>
          <w:i/>
          <w:sz w:val="24"/>
        </w:rPr>
        <w:t>ai</w:t>
      </w:r>
      <w:r w:rsidR="00D915B9" w:rsidRPr="0077142B">
        <w:rPr>
          <w:rFonts w:ascii="Garamond" w:hAnsi="Garamond"/>
          <w:i/>
          <w:spacing w:val="-8"/>
          <w:sz w:val="24"/>
        </w:rPr>
        <w:t xml:space="preserve"> </w:t>
      </w:r>
      <w:r w:rsidR="00D915B9" w:rsidRPr="0077142B">
        <w:rPr>
          <w:rFonts w:ascii="Garamond" w:hAnsi="Garamond"/>
          <w:i/>
          <w:sz w:val="24"/>
        </w:rPr>
        <w:t>sensi</w:t>
      </w:r>
      <w:r w:rsidR="00D915B9" w:rsidRPr="0077142B">
        <w:rPr>
          <w:rFonts w:ascii="Garamond" w:hAnsi="Garamond"/>
          <w:i/>
          <w:spacing w:val="-8"/>
          <w:sz w:val="24"/>
        </w:rPr>
        <w:t xml:space="preserve"> </w:t>
      </w:r>
      <w:r w:rsidR="00D915B9" w:rsidRPr="0077142B">
        <w:rPr>
          <w:rFonts w:ascii="Garamond" w:hAnsi="Garamond"/>
          <w:i/>
          <w:sz w:val="24"/>
        </w:rPr>
        <w:t>del</w:t>
      </w:r>
      <w:r w:rsidR="00D915B9" w:rsidRPr="0077142B">
        <w:rPr>
          <w:rFonts w:ascii="Garamond" w:hAnsi="Garamond"/>
          <w:i/>
          <w:spacing w:val="-7"/>
          <w:sz w:val="24"/>
        </w:rPr>
        <w:t xml:space="preserve"> </w:t>
      </w:r>
      <w:r w:rsidR="00D915B9" w:rsidRPr="0077142B">
        <w:rPr>
          <w:rFonts w:ascii="Garamond" w:hAnsi="Garamond"/>
          <w:i/>
          <w:sz w:val="24"/>
        </w:rPr>
        <w:t>comma</w:t>
      </w:r>
      <w:r w:rsidR="00D915B9" w:rsidRPr="0077142B">
        <w:rPr>
          <w:rFonts w:ascii="Garamond" w:hAnsi="Garamond"/>
          <w:i/>
          <w:spacing w:val="-8"/>
          <w:sz w:val="24"/>
        </w:rPr>
        <w:t xml:space="preserve"> </w:t>
      </w:r>
      <w:r w:rsidR="00D915B9" w:rsidRPr="0077142B">
        <w:rPr>
          <w:rFonts w:ascii="Garamond" w:hAnsi="Garamond"/>
          <w:i/>
          <w:sz w:val="24"/>
        </w:rPr>
        <w:t>2-bis</w:t>
      </w:r>
      <w:r w:rsidR="00D915B9" w:rsidRPr="0077142B">
        <w:rPr>
          <w:rFonts w:ascii="Garamond" w:hAnsi="Garamond"/>
          <w:i/>
          <w:spacing w:val="-7"/>
          <w:sz w:val="24"/>
        </w:rPr>
        <w:t xml:space="preserve"> </w:t>
      </w:r>
      <w:r w:rsidR="00D915B9" w:rsidRPr="0077142B">
        <w:rPr>
          <w:rFonts w:ascii="Garamond" w:hAnsi="Garamond"/>
          <w:i/>
          <w:sz w:val="24"/>
        </w:rPr>
        <w:t>dell’art.</w:t>
      </w:r>
      <w:r w:rsidR="00D915B9" w:rsidRPr="0077142B">
        <w:rPr>
          <w:rFonts w:ascii="Garamond" w:hAnsi="Garamond"/>
          <w:i/>
          <w:spacing w:val="-8"/>
          <w:sz w:val="24"/>
        </w:rPr>
        <w:t xml:space="preserve"> </w:t>
      </w:r>
      <w:r w:rsidR="00D915B9" w:rsidRPr="0077142B">
        <w:rPr>
          <w:rFonts w:ascii="Garamond" w:hAnsi="Garamond"/>
          <w:i/>
          <w:sz w:val="24"/>
        </w:rPr>
        <w:t>15</w:t>
      </w:r>
      <w:r w:rsidR="00D915B9" w:rsidRPr="0077142B">
        <w:rPr>
          <w:rFonts w:ascii="Garamond" w:hAnsi="Garamond"/>
          <w:i/>
          <w:spacing w:val="-8"/>
          <w:sz w:val="24"/>
        </w:rPr>
        <w:t xml:space="preserve"> </w:t>
      </w:r>
      <w:r w:rsidR="00D915B9" w:rsidRPr="0077142B">
        <w:rPr>
          <w:rFonts w:ascii="Garamond" w:hAnsi="Garamond"/>
          <w:i/>
          <w:sz w:val="24"/>
        </w:rPr>
        <w:t>Legge</w:t>
      </w:r>
      <w:r w:rsidR="00D915B9" w:rsidRPr="0077142B">
        <w:rPr>
          <w:rFonts w:ascii="Garamond" w:hAnsi="Garamond"/>
          <w:i/>
          <w:spacing w:val="-7"/>
          <w:sz w:val="24"/>
        </w:rPr>
        <w:t xml:space="preserve"> </w:t>
      </w:r>
      <w:r w:rsidR="00D915B9" w:rsidRPr="0077142B">
        <w:rPr>
          <w:rFonts w:ascii="Garamond" w:hAnsi="Garamond"/>
          <w:i/>
          <w:sz w:val="24"/>
        </w:rPr>
        <w:t>7</w:t>
      </w:r>
      <w:r w:rsidR="00D915B9" w:rsidRPr="0077142B">
        <w:rPr>
          <w:rFonts w:ascii="Garamond" w:hAnsi="Garamond"/>
          <w:i/>
          <w:spacing w:val="-7"/>
          <w:sz w:val="24"/>
        </w:rPr>
        <w:t xml:space="preserve"> </w:t>
      </w:r>
      <w:r w:rsidR="00D915B9" w:rsidRPr="0077142B">
        <w:rPr>
          <w:rFonts w:ascii="Garamond" w:hAnsi="Garamond"/>
          <w:i/>
          <w:sz w:val="24"/>
        </w:rPr>
        <w:t>agosto</w:t>
      </w:r>
      <w:r w:rsidR="00D915B9" w:rsidRPr="0077142B">
        <w:rPr>
          <w:rFonts w:ascii="Garamond" w:hAnsi="Garamond"/>
          <w:i/>
          <w:spacing w:val="-7"/>
          <w:sz w:val="24"/>
        </w:rPr>
        <w:t xml:space="preserve"> </w:t>
      </w:r>
      <w:r w:rsidR="00D915B9" w:rsidRPr="0077142B">
        <w:rPr>
          <w:rFonts w:ascii="Garamond" w:hAnsi="Garamond"/>
          <w:i/>
          <w:sz w:val="24"/>
        </w:rPr>
        <w:t>1990,</w:t>
      </w:r>
      <w:r w:rsidR="00D915B9" w:rsidRPr="0077142B">
        <w:rPr>
          <w:rFonts w:ascii="Garamond" w:hAnsi="Garamond"/>
          <w:i/>
          <w:spacing w:val="-7"/>
          <w:sz w:val="24"/>
        </w:rPr>
        <w:t xml:space="preserve"> </w:t>
      </w:r>
      <w:r w:rsidR="00D915B9" w:rsidRPr="0077142B">
        <w:rPr>
          <w:rFonts w:ascii="Garamond" w:hAnsi="Garamond"/>
          <w:i/>
          <w:sz w:val="24"/>
        </w:rPr>
        <w:t>n.</w:t>
      </w:r>
      <w:r w:rsidR="00D915B9" w:rsidRPr="0077142B">
        <w:rPr>
          <w:rFonts w:ascii="Garamond" w:hAnsi="Garamond"/>
          <w:i/>
          <w:spacing w:val="-8"/>
          <w:sz w:val="24"/>
        </w:rPr>
        <w:t xml:space="preserve"> </w:t>
      </w:r>
      <w:r w:rsidR="00D915B9" w:rsidRPr="0077142B">
        <w:rPr>
          <w:rFonts w:ascii="Garamond" w:hAnsi="Garamond"/>
          <w:i/>
          <w:sz w:val="24"/>
        </w:rPr>
        <w:t>241,</w:t>
      </w:r>
      <w:r w:rsidR="00D915B9" w:rsidRPr="0077142B">
        <w:rPr>
          <w:rFonts w:ascii="Garamond" w:hAnsi="Garamond"/>
          <w:i/>
          <w:spacing w:val="-7"/>
          <w:sz w:val="24"/>
        </w:rPr>
        <w:t xml:space="preserve"> </w:t>
      </w:r>
      <w:r w:rsidR="00D915B9" w:rsidRPr="0077142B">
        <w:rPr>
          <w:rFonts w:ascii="Garamond" w:hAnsi="Garamond"/>
          <w:i/>
          <w:sz w:val="24"/>
        </w:rPr>
        <w:t>così come modificato dall'art. 6, comma 2, Legge n. 221 del 17 dicembre 2012</w:t>
      </w:r>
    </w:p>
    <w:sectPr w:rsidR="00DB6020" w:rsidRPr="0077142B">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C97F" w14:textId="77777777" w:rsidR="00180876" w:rsidRDefault="00180876">
      <w:pPr>
        <w:spacing w:after="0" w:line="240" w:lineRule="auto"/>
      </w:pPr>
      <w:r>
        <w:separator/>
      </w:r>
    </w:p>
  </w:endnote>
  <w:endnote w:type="continuationSeparator" w:id="0">
    <w:p w14:paraId="1FA51BDF" w14:textId="77777777" w:rsidR="00180876" w:rsidRDefault="0018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882980"/>
      <w:docPartObj>
        <w:docPartGallery w:val="Page Numbers (Bottom of Page)"/>
        <w:docPartUnique/>
      </w:docPartObj>
    </w:sdtPr>
    <w:sdtEndPr/>
    <w:sdtContent>
      <w:p w14:paraId="25BBFD78" w14:textId="3351FC87" w:rsidR="000538DF" w:rsidRDefault="000538DF">
        <w:pPr>
          <w:pStyle w:val="Pidipagina"/>
          <w:jc w:val="center"/>
        </w:pPr>
        <w:r>
          <w:fldChar w:fldCharType="begin"/>
        </w:r>
        <w:r>
          <w:instrText>PAGE   \* MERGEFORMAT</w:instrText>
        </w:r>
        <w:r>
          <w:fldChar w:fldCharType="separate"/>
        </w:r>
        <w:r>
          <w:t>2</w:t>
        </w:r>
        <w:r>
          <w:fldChar w:fldCharType="end"/>
        </w:r>
      </w:p>
    </w:sdtContent>
  </w:sdt>
  <w:p w14:paraId="5C55290B" w14:textId="14B56183" w:rsidR="55765628" w:rsidRDefault="55765628" w:rsidP="557656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608E" w14:textId="77777777" w:rsidR="00180876" w:rsidRDefault="00180876">
      <w:pPr>
        <w:spacing w:after="0" w:line="240" w:lineRule="auto"/>
      </w:pPr>
      <w:r>
        <w:separator/>
      </w:r>
    </w:p>
  </w:footnote>
  <w:footnote w:type="continuationSeparator" w:id="0">
    <w:p w14:paraId="1F492F44" w14:textId="77777777" w:rsidR="00180876" w:rsidRDefault="0018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5765628" w14:paraId="1DA466A2" w14:textId="77777777" w:rsidTr="55765628">
      <w:tc>
        <w:tcPr>
          <w:tcW w:w="3210" w:type="dxa"/>
        </w:tcPr>
        <w:p w14:paraId="101A2056" w14:textId="436DD895" w:rsidR="55765628" w:rsidRDefault="55765628" w:rsidP="55765628">
          <w:pPr>
            <w:pStyle w:val="Intestazione"/>
            <w:ind w:left="-115"/>
          </w:pPr>
        </w:p>
      </w:tc>
      <w:tc>
        <w:tcPr>
          <w:tcW w:w="3210" w:type="dxa"/>
        </w:tcPr>
        <w:p w14:paraId="1E3B45A0" w14:textId="4FE32B2D" w:rsidR="55765628" w:rsidRDefault="55765628" w:rsidP="55765628">
          <w:pPr>
            <w:pStyle w:val="Intestazione"/>
            <w:jc w:val="center"/>
          </w:pPr>
        </w:p>
      </w:tc>
      <w:tc>
        <w:tcPr>
          <w:tcW w:w="3210" w:type="dxa"/>
        </w:tcPr>
        <w:p w14:paraId="482EFF52" w14:textId="0A6FAA36" w:rsidR="55765628" w:rsidRDefault="55765628" w:rsidP="55765628">
          <w:pPr>
            <w:pStyle w:val="Intestazione"/>
            <w:ind w:right="-115"/>
            <w:jc w:val="right"/>
          </w:pPr>
        </w:p>
      </w:tc>
    </w:tr>
  </w:tbl>
  <w:p w14:paraId="3CDD0B7C" w14:textId="58FC4BCA" w:rsidR="55765628" w:rsidRDefault="00F577F8" w:rsidP="55765628">
    <w:pPr>
      <w:pStyle w:val="Intestazione"/>
    </w:pPr>
    <w:r>
      <w:rPr>
        <w:noProof/>
      </w:rPr>
      <mc:AlternateContent>
        <mc:Choice Requires="wps">
          <w:drawing>
            <wp:anchor distT="45720" distB="45720" distL="114300" distR="114300" simplePos="0" relativeHeight="251666432" behindDoc="1" locked="0" layoutInCell="1" allowOverlap="1" wp14:anchorId="0FC10485" wp14:editId="44836BAB">
              <wp:simplePos x="0" y="0"/>
              <wp:positionH relativeFrom="column">
                <wp:posOffset>5274310</wp:posOffset>
              </wp:positionH>
              <wp:positionV relativeFrom="paragraph">
                <wp:posOffset>-467995</wp:posOffset>
              </wp:positionV>
              <wp:extent cx="628650" cy="438150"/>
              <wp:effectExtent l="0" t="0" r="19050" b="19050"/>
              <wp:wrapThrough wrapText="bothSides">
                <wp:wrapPolygon edited="0">
                  <wp:start x="0" y="0"/>
                  <wp:lineTo x="0" y="21600"/>
                  <wp:lineTo x="21600" y="21600"/>
                  <wp:lineTo x="21600" y="0"/>
                  <wp:lineTo x="0" y="0"/>
                </wp:wrapPolygon>
              </wp:wrapThrough>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38150"/>
                      </a:xfrm>
                      <a:prstGeom prst="rect">
                        <a:avLst/>
                      </a:prstGeom>
                      <a:solidFill>
                        <a:srgbClr val="FFFFFF"/>
                      </a:solidFill>
                      <a:ln w="9525">
                        <a:solidFill>
                          <a:srgbClr val="000000"/>
                        </a:solidFill>
                        <a:miter lim="800000"/>
                        <a:headEnd/>
                        <a:tailEnd/>
                      </a:ln>
                    </wps:spPr>
                    <wps:txbx>
                      <w:txbxContent>
                        <w:p w14:paraId="03AE3985" w14:textId="5BBB1934" w:rsidR="00F577F8" w:rsidRDefault="00F577F8">
                          <w:r>
                            <w:t>Logo regione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10485" id="_x0000_t202" coordsize="21600,21600" o:spt="202" path="m,l,21600r21600,l21600,xe">
              <v:stroke joinstyle="miter"/>
              <v:path gradientshapeok="t" o:connecttype="rect"/>
            </v:shapetype>
            <v:shape id="Casella di testo 2" o:spid="_x0000_s1026" type="#_x0000_t202" style="position:absolute;margin-left:415.3pt;margin-top:-36.85pt;width:49.5pt;height:3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">
              <v:textbox>
                <w:txbxContent>
                  <w:p w14:paraId="03AE3985" w14:textId="5BBB1934" w:rsidR="00F577F8" w:rsidRDefault="00F577F8">
                    <w:r>
                      <w:t>Logo regione</w:t>
                    </w:r>
                  </w:p>
                </w:txbxContent>
              </v:textbox>
              <w10:wrap type="through"/>
            </v:shape>
          </w:pict>
        </mc:Fallback>
      </mc:AlternateContent>
    </w:r>
    <w:r w:rsidR="00D9151D" w:rsidRPr="00A119BD">
      <w:rPr>
        <w:rFonts w:ascii="Garamond" w:hAnsi="Garamond"/>
        <w:noProof/>
        <w:highlight w:val="yellow"/>
      </w:rPr>
      <w:drawing>
        <wp:anchor distT="0" distB="0" distL="0" distR="0" simplePos="0" relativeHeight="251659264" behindDoc="0" locked="0" layoutInCell="1" allowOverlap="1" wp14:anchorId="5C76168F" wp14:editId="6B7F2D71">
          <wp:simplePos x="0" y="0"/>
          <wp:positionH relativeFrom="page">
            <wp:posOffset>818681</wp:posOffset>
          </wp:positionH>
          <wp:positionV relativeFrom="paragraph">
            <wp:posOffset>-350493</wp:posOffset>
          </wp:positionV>
          <wp:extent cx="1581150" cy="40132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81150" cy="401320"/>
                  </a:xfrm>
                  <a:prstGeom prst="rect">
                    <a:avLst/>
                  </a:prstGeom>
                </pic:spPr>
              </pic:pic>
            </a:graphicData>
          </a:graphic>
          <wp14:sizeRelH relativeFrom="margin">
            <wp14:pctWidth>0</wp14:pctWidth>
          </wp14:sizeRelH>
          <wp14:sizeRelV relativeFrom="margin">
            <wp14:pctHeight>0</wp14:pctHeight>
          </wp14:sizeRelV>
        </wp:anchor>
      </w:drawing>
    </w:r>
    <w:r w:rsidR="00D9151D">
      <w:rPr>
        <w:noProof/>
      </w:rPr>
      <w:drawing>
        <wp:anchor distT="0" distB="0" distL="114300" distR="114300" simplePos="0" relativeHeight="251664384" behindDoc="0" locked="0" layoutInCell="1" allowOverlap="1" wp14:anchorId="245D8886" wp14:editId="20BAFFF9">
          <wp:simplePos x="0" y="0"/>
          <wp:positionH relativeFrom="column">
            <wp:posOffset>2797810</wp:posOffset>
          </wp:positionH>
          <wp:positionV relativeFrom="paragraph">
            <wp:posOffset>-493643</wp:posOffset>
          </wp:positionV>
          <wp:extent cx="758825" cy="631190"/>
          <wp:effectExtent l="0" t="0" r="317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25919" t="14591" r="26506" b="7323"/>
                  <a:stretch/>
                </pic:blipFill>
                <pic:spPr bwMode="auto">
                  <a:xfrm>
                    <a:off x="0" y="0"/>
                    <a:ext cx="758825" cy="63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F3B"/>
    <w:multiLevelType w:val="multilevel"/>
    <w:tmpl w:val="E5FC849E"/>
    <w:lvl w:ilvl="0">
      <w:numFmt w:val="bullet"/>
      <w:lvlText w:val="-"/>
      <w:lvlJc w:val="left"/>
      <w:pPr>
        <w:tabs>
          <w:tab w:val="num" w:pos="360"/>
        </w:tabs>
        <w:ind w:left="360" w:hanging="360"/>
      </w:pPr>
      <w:rPr>
        <w:rFonts w:ascii="Segoe UI" w:eastAsia="Times New Roman" w:hAnsi="Segoe UI" w:cs="Segoe U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0C624AFE"/>
    <w:multiLevelType w:val="multilevel"/>
    <w:tmpl w:val="9334BBB8"/>
    <w:lvl w:ilvl="0">
      <w:start w:val="1"/>
      <w:numFmt w:val="bullet"/>
      <w:lvlText w:val="o"/>
      <w:lvlJc w:val="left"/>
      <w:pPr>
        <w:tabs>
          <w:tab w:val="num" w:pos="1353"/>
        </w:tabs>
        <w:ind w:left="1353" w:hanging="360"/>
      </w:pPr>
      <w:rPr>
        <w:rFonts w:ascii="Courier New" w:hAnsi="Courier New"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o"/>
      <w:lvlJc w:val="left"/>
      <w:pPr>
        <w:tabs>
          <w:tab w:val="num" w:pos="2793"/>
        </w:tabs>
        <w:ind w:left="2793" w:hanging="360"/>
      </w:pPr>
      <w:rPr>
        <w:rFonts w:ascii="Courier New" w:hAnsi="Courier New" w:hint="default"/>
        <w:sz w:val="20"/>
      </w:rPr>
    </w:lvl>
    <w:lvl w:ilvl="3" w:tentative="1">
      <w:start w:val="1"/>
      <w:numFmt w:val="bullet"/>
      <w:lvlText w:val="o"/>
      <w:lvlJc w:val="left"/>
      <w:pPr>
        <w:tabs>
          <w:tab w:val="num" w:pos="3513"/>
        </w:tabs>
        <w:ind w:left="3513" w:hanging="360"/>
      </w:pPr>
      <w:rPr>
        <w:rFonts w:ascii="Courier New" w:hAnsi="Courier New" w:hint="default"/>
        <w:sz w:val="20"/>
      </w:rPr>
    </w:lvl>
    <w:lvl w:ilvl="4" w:tentative="1">
      <w:start w:val="1"/>
      <w:numFmt w:val="bullet"/>
      <w:lvlText w:val="o"/>
      <w:lvlJc w:val="left"/>
      <w:pPr>
        <w:tabs>
          <w:tab w:val="num" w:pos="4233"/>
        </w:tabs>
        <w:ind w:left="4233" w:hanging="360"/>
      </w:pPr>
      <w:rPr>
        <w:rFonts w:ascii="Courier New" w:hAnsi="Courier New" w:hint="default"/>
        <w:sz w:val="20"/>
      </w:rPr>
    </w:lvl>
    <w:lvl w:ilvl="5" w:tentative="1">
      <w:start w:val="1"/>
      <w:numFmt w:val="bullet"/>
      <w:lvlText w:val="o"/>
      <w:lvlJc w:val="left"/>
      <w:pPr>
        <w:tabs>
          <w:tab w:val="num" w:pos="4953"/>
        </w:tabs>
        <w:ind w:left="4953" w:hanging="360"/>
      </w:pPr>
      <w:rPr>
        <w:rFonts w:ascii="Courier New" w:hAnsi="Courier New" w:hint="default"/>
        <w:sz w:val="20"/>
      </w:rPr>
    </w:lvl>
    <w:lvl w:ilvl="6" w:tentative="1">
      <w:start w:val="1"/>
      <w:numFmt w:val="bullet"/>
      <w:lvlText w:val="o"/>
      <w:lvlJc w:val="left"/>
      <w:pPr>
        <w:tabs>
          <w:tab w:val="num" w:pos="5673"/>
        </w:tabs>
        <w:ind w:left="5673" w:hanging="360"/>
      </w:pPr>
      <w:rPr>
        <w:rFonts w:ascii="Courier New" w:hAnsi="Courier New" w:hint="default"/>
        <w:sz w:val="20"/>
      </w:rPr>
    </w:lvl>
    <w:lvl w:ilvl="7" w:tentative="1">
      <w:start w:val="1"/>
      <w:numFmt w:val="bullet"/>
      <w:lvlText w:val="o"/>
      <w:lvlJc w:val="left"/>
      <w:pPr>
        <w:tabs>
          <w:tab w:val="num" w:pos="6393"/>
        </w:tabs>
        <w:ind w:left="6393" w:hanging="360"/>
      </w:pPr>
      <w:rPr>
        <w:rFonts w:ascii="Courier New" w:hAnsi="Courier New" w:hint="default"/>
        <w:sz w:val="20"/>
      </w:rPr>
    </w:lvl>
    <w:lvl w:ilvl="8" w:tentative="1">
      <w:start w:val="1"/>
      <w:numFmt w:val="bullet"/>
      <w:lvlText w:val="o"/>
      <w:lvlJc w:val="left"/>
      <w:pPr>
        <w:tabs>
          <w:tab w:val="num" w:pos="7113"/>
        </w:tabs>
        <w:ind w:left="7113" w:hanging="360"/>
      </w:pPr>
      <w:rPr>
        <w:rFonts w:ascii="Courier New" w:hAnsi="Courier New" w:hint="default"/>
        <w:sz w:val="20"/>
      </w:rPr>
    </w:lvl>
  </w:abstractNum>
  <w:abstractNum w:abstractNumId="2" w15:restartNumberingAfterBreak="0">
    <w:nsid w:val="1C6207D8"/>
    <w:multiLevelType w:val="hybridMultilevel"/>
    <w:tmpl w:val="8A86D2B8"/>
    <w:lvl w:ilvl="0" w:tplc="04100001">
      <w:start w:val="1"/>
      <w:numFmt w:val="bullet"/>
      <w:lvlText w:val=""/>
      <w:lvlJc w:val="left"/>
      <w:pPr>
        <w:ind w:left="720" w:hanging="360"/>
      </w:pPr>
      <w:rPr>
        <w:rFonts w:ascii="Symbol" w:hAnsi="Symbol" w:hint="default"/>
      </w:rPr>
    </w:lvl>
    <w:lvl w:ilvl="1" w:tplc="93D49606">
      <w:start w:val="135"/>
      <w:numFmt w:val="bullet"/>
      <w:lvlText w:val="-"/>
      <w:lvlJc w:val="left"/>
      <w:pPr>
        <w:ind w:left="1440" w:hanging="360"/>
      </w:pPr>
      <w:rPr>
        <w:rFonts w:ascii="Garamond" w:eastAsiaTheme="minorHAnsi" w:hAnsi="Garamond"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D5F16"/>
    <w:multiLevelType w:val="hybridMultilevel"/>
    <w:tmpl w:val="A91C1CB2"/>
    <w:lvl w:ilvl="0" w:tplc="0F2A0066">
      <w:start w:val="1"/>
      <w:numFmt w:val="lowerRoman"/>
      <w:lvlText w:val="%1)"/>
      <w:lvlJc w:val="left"/>
      <w:pPr>
        <w:ind w:left="773" w:hanging="720"/>
      </w:pPr>
      <w:rPr>
        <w:rFonts w:hint="default"/>
      </w:rPr>
    </w:lvl>
    <w:lvl w:ilvl="1" w:tplc="04100019" w:tentative="1">
      <w:start w:val="1"/>
      <w:numFmt w:val="lowerLetter"/>
      <w:lvlText w:val="%2."/>
      <w:lvlJc w:val="left"/>
      <w:pPr>
        <w:ind w:left="1133" w:hanging="360"/>
      </w:pPr>
    </w:lvl>
    <w:lvl w:ilvl="2" w:tplc="0410001B" w:tentative="1">
      <w:start w:val="1"/>
      <w:numFmt w:val="lowerRoman"/>
      <w:lvlText w:val="%3."/>
      <w:lvlJc w:val="right"/>
      <w:pPr>
        <w:ind w:left="1853" w:hanging="180"/>
      </w:pPr>
    </w:lvl>
    <w:lvl w:ilvl="3" w:tplc="0410000F" w:tentative="1">
      <w:start w:val="1"/>
      <w:numFmt w:val="decimal"/>
      <w:lvlText w:val="%4."/>
      <w:lvlJc w:val="left"/>
      <w:pPr>
        <w:ind w:left="2573" w:hanging="360"/>
      </w:pPr>
    </w:lvl>
    <w:lvl w:ilvl="4" w:tplc="04100019" w:tentative="1">
      <w:start w:val="1"/>
      <w:numFmt w:val="lowerLetter"/>
      <w:lvlText w:val="%5."/>
      <w:lvlJc w:val="left"/>
      <w:pPr>
        <w:ind w:left="3293" w:hanging="360"/>
      </w:pPr>
    </w:lvl>
    <w:lvl w:ilvl="5" w:tplc="0410001B" w:tentative="1">
      <w:start w:val="1"/>
      <w:numFmt w:val="lowerRoman"/>
      <w:lvlText w:val="%6."/>
      <w:lvlJc w:val="right"/>
      <w:pPr>
        <w:ind w:left="4013" w:hanging="180"/>
      </w:pPr>
    </w:lvl>
    <w:lvl w:ilvl="6" w:tplc="0410000F" w:tentative="1">
      <w:start w:val="1"/>
      <w:numFmt w:val="decimal"/>
      <w:lvlText w:val="%7."/>
      <w:lvlJc w:val="left"/>
      <w:pPr>
        <w:ind w:left="4733" w:hanging="360"/>
      </w:pPr>
    </w:lvl>
    <w:lvl w:ilvl="7" w:tplc="04100019" w:tentative="1">
      <w:start w:val="1"/>
      <w:numFmt w:val="lowerLetter"/>
      <w:lvlText w:val="%8."/>
      <w:lvlJc w:val="left"/>
      <w:pPr>
        <w:ind w:left="5453" w:hanging="360"/>
      </w:pPr>
    </w:lvl>
    <w:lvl w:ilvl="8" w:tplc="0410001B" w:tentative="1">
      <w:start w:val="1"/>
      <w:numFmt w:val="lowerRoman"/>
      <w:lvlText w:val="%9."/>
      <w:lvlJc w:val="right"/>
      <w:pPr>
        <w:ind w:left="6173" w:hanging="180"/>
      </w:pPr>
    </w:lvl>
  </w:abstractNum>
  <w:abstractNum w:abstractNumId="4" w15:restartNumberingAfterBreak="0">
    <w:nsid w:val="1EB41CD8"/>
    <w:multiLevelType w:val="multilevel"/>
    <w:tmpl w:val="8098B4A2"/>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2345"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22415D66"/>
    <w:multiLevelType w:val="hybridMultilevel"/>
    <w:tmpl w:val="D3F60FA4"/>
    <w:lvl w:ilvl="0" w:tplc="B762CC14">
      <w:start w:val="1"/>
      <w:numFmt w:val="bullet"/>
      <w:lvlText w:val="-"/>
      <w:lvlJc w:val="left"/>
      <w:pPr>
        <w:ind w:left="720" w:hanging="360"/>
      </w:pPr>
      <w:rPr>
        <w:rFonts w:ascii="Garamond" w:eastAsiaTheme="minorHAnsi" w:hAnsi="Garamond"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396407"/>
    <w:multiLevelType w:val="hybridMultilevel"/>
    <w:tmpl w:val="2A267DDE"/>
    <w:lvl w:ilvl="0" w:tplc="3FA86E4E">
      <w:start w:val="1"/>
      <w:numFmt w:val="lowerLetter"/>
      <w:lvlText w:val="%1)"/>
      <w:lvlJc w:val="left"/>
      <w:pPr>
        <w:ind w:left="1352" w:hanging="360"/>
      </w:pPr>
      <w:rPr>
        <w:rFonts w:ascii="Garamond" w:hAnsi="Garamond"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7" w15:restartNumberingAfterBreak="0">
    <w:nsid w:val="270F22AF"/>
    <w:multiLevelType w:val="multilevel"/>
    <w:tmpl w:val="972CDADA"/>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2AC33F82"/>
    <w:multiLevelType w:val="hybridMultilevel"/>
    <w:tmpl w:val="5104784A"/>
    <w:lvl w:ilvl="0" w:tplc="B762CC14">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04BE2"/>
    <w:multiLevelType w:val="multilevel"/>
    <w:tmpl w:val="8098B4A2"/>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3A883B9C"/>
    <w:multiLevelType w:val="hybridMultilevel"/>
    <w:tmpl w:val="09C63C92"/>
    <w:lvl w:ilvl="0" w:tplc="58F2991C">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AE726DD"/>
    <w:multiLevelType w:val="multilevel"/>
    <w:tmpl w:val="8098B4A2"/>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675567BE"/>
    <w:multiLevelType w:val="hybridMultilevel"/>
    <w:tmpl w:val="7C203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4479CB"/>
    <w:multiLevelType w:val="hybridMultilevel"/>
    <w:tmpl w:val="7318C6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7334654E"/>
    <w:multiLevelType w:val="hybridMultilevel"/>
    <w:tmpl w:val="CA46970C"/>
    <w:lvl w:ilvl="0" w:tplc="B762CC14">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3E477E"/>
    <w:multiLevelType w:val="hybridMultilevel"/>
    <w:tmpl w:val="0E5893F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9C2E4E"/>
    <w:multiLevelType w:val="hybridMultilevel"/>
    <w:tmpl w:val="15164BEA"/>
    <w:lvl w:ilvl="0" w:tplc="C91023F0">
      <w:start w:val="1"/>
      <w:numFmt w:val="lowerLetter"/>
      <w:lvlText w:val="%1."/>
      <w:lvlJc w:val="left"/>
      <w:pPr>
        <w:ind w:left="720" w:hanging="360"/>
      </w:pPr>
    </w:lvl>
    <w:lvl w:ilvl="1" w:tplc="FFD090C2" w:tentative="1">
      <w:start w:val="1"/>
      <w:numFmt w:val="lowerLetter"/>
      <w:lvlText w:val="%2."/>
      <w:lvlJc w:val="left"/>
      <w:pPr>
        <w:ind w:left="1440" w:hanging="360"/>
      </w:pPr>
    </w:lvl>
    <w:lvl w:ilvl="2" w:tplc="DDFCC92E" w:tentative="1">
      <w:start w:val="1"/>
      <w:numFmt w:val="lowerRoman"/>
      <w:lvlText w:val="%3."/>
      <w:lvlJc w:val="right"/>
      <w:pPr>
        <w:ind w:left="2160" w:hanging="180"/>
      </w:pPr>
    </w:lvl>
    <w:lvl w:ilvl="3" w:tplc="9A183B62" w:tentative="1">
      <w:start w:val="1"/>
      <w:numFmt w:val="decimal"/>
      <w:lvlText w:val="%4."/>
      <w:lvlJc w:val="left"/>
      <w:pPr>
        <w:ind w:left="2880" w:hanging="360"/>
      </w:pPr>
    </w:lvl>
    <w:lvl w:ilvl="4" w:tplc="A7529B42" w:tentative="1">
      <w:start w:val="1"/>
      <w:numFmt w:val="lowerLetter"/>
      <w:lvlText w:val="%5."/>
      <w:lvlJc w:val="left"/>
      <w:pPr>
        <w:ind w:left="3600" w:hanging="360"/>
      </w:pPr>
    </w:lvl>
    <w:lvl w:ilvl="5" w:tplc="B0C615E0" w:tentative="1">
      <w:start w:val="1"/>
      <w:numFmt w:val="lowerRoman"/>
      <w:lvlText w:val="%6."/>
      <w:lvlJc w:val="right"/>
      <w:pPr>
        <w:ind w:left="4320" w:hanging="180"/>
      </w:pPr>
    </w:lvl>
    <w:lvl w:ilvl="6" w:tplc="98A09720" w:tentative="1">
      <w:start w:val="1"/>
      <w:numFmt w:val="decimal"/>
      <w:lvlText w:val="%7."/>
      <w:lvlJc w:val="left"/>
      <w:pPr>
        <w:ind w:left="5040" w:hanging="360"/>
      </w:pPr>
    </w:lvl>
    <w:lvl w:ilvl="7" w:tplc="295653D8" w:tentative="1">
      <w:start w:val="1"/>
      <w:numFmt w:val="lowerLetter"/>
      <w:lvlText w:val="%8."/>
      <w:lvlJc w:val="left"/>
      <w:pPr>
        <w:ind w:left="5760" w:hanging="360"/>
      </w:pPr>
    </w:lvl>
    <w:lvl w:ilvl="8" w:tplc="0E60DBA6"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
  </w:num>
  <w:num w:numId="5">
    <w:abstractNumId w:val="9"/>
  </w:num>
  <w:num w:numId="6">
    <w:abstractNumId w:val="4"/>
  </w:num>
  <w:num w:numId="7">
    <w:abstractNumId w:val="15"/>
  </w:num>
  <w:num w:numId="8">
    <w:abstractNumId w:val="10"/>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14"/>
  </w:num>
  <w:num w:numId="14">
    <w:abstractNumId w:val="8"/>
  </w:num>
  <w:num w:numId="15">
    <w:abstractNumId w:val="0"/>
  </w:num>
  <w:num w:numId="16">
    <w:abstractNumId w:val="7"/>
  </w:num>
  <w:num w:numId="1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20"/>
    <w:rsid w:val="000038C3"/>
    <w:rsid w:val="00003CF9"/>
    <w:rsid w:val="00005F0E"/>
    <w:rsid w:val="00006715"/>
    <w:rsid w:val="00016FFD"/>
    <w:rsid w:val="00017675"/>
    <w:rsid w:val="000234E8"/>
    <w:rsid w:val="0002648F"/>
    <w:rsid w:val="00027CDA"/>
    <w:rsid w:val="00035E1F"/>
    <w:rsid w:val="000366F0"/>
    <w:rsid w:val="0004466C"/>
    <w:rsid w:val="00045D6D"/>
    <w:rsid w:val="000538DF"/>
    <w:rsid w:val="0005595F"/>
    <w:rsid w:val="0006074D"/>
    <w:rsid w:val="0006474B"/>
    <w:rsid w:val="0007508C"/>
    <w:rsid w:val="000770D9"/>
    <w:rsid w:val="00081106"/>
    <w:rsid w:val="000833E5"/>
    <w:rsid w:val="0008457F"/>
    <w:rsid w:val="00085ADB"/>
    <w:rsid w:val="00087679"/>
    <w:rsid w:val="00087AE7"/>
    <w:rsid w:val="00091333"/>
    <w:rsid w:val="000918F6"/>
    <w:rsid w:val="00091C5B"/>
    <w:rsid w:val="000936A0"/>
    <w:rsid w:val="00093A12"/>
    <w:rsid w:val="00096AA9"/>
    <w:rsid w:val="000A498D"/>
    <w:rsid w:val="000A4E15"/>
    <w:rsid w:val="000B6F47"/>
    <w:rsid w:val="000C3897"/>
    <w:rsid w:val="000C4013"/>
    <w:rsid w:val="000C52E5"/>
    <w:rsid w:val="000C619D"/>
    <w:rsid w:val="000D13A8"/>
    <w:rsid w:val="000E216C"/>
    <w:rsid w:val="000E24F6"/>
    <w:rsid w:val="000E5068"/>
    <w:rsid w:val="000F0059"/>
    <w:rsid w:val="00100252"/>
    <w:rsid w:val="00104C68"/>
    <w:rsid w:val="001068DB"/>
    <w:rsid w:val="001077A3"/>
    <w:rsid w:val="00114012"/>
    <w:rsid w:val="001178EF"/>
    <w:rsid w:val="0012362F"/>
    <w:rsid w:val="001245DE"/>
    <w:rsid w:val="00141174"/>
    <w:rsid w:val="001444BF"/>
    <w:rsid w:val="00145A98"/>
    <w:rsid w:val="0015283F"/>
    <w:rsid w:val="001574B8"/>
    <w:rsid w:val="001632D5"/>
    <w:rsid w:val="00164362"/>
    <w:rsid w:val="00166807"/>
    <w:rsid w:val="0017228C"/>
    <w:rsid w:val="00177B7B"/>
    <w:rsid w:val="00180876"/>
    <w:rsid w:val="00182707"/>
    <w:rsid w:val="00183F6A"/>
    <w:rsid w:val="00191CB6"/>
    <w:rsid w:val="00194E14"/>
    <w:rsid w:val="001B11CD"/>
    <w:rsid w:val="001B4356"/>
    <w:rsid w:val="001B59FC"/>
    <w:rsid w:val="001B7FB3"/>
    <w:rsid w:val="001C1213"/>
    <w:rsid w:val="001C218D"/>
    <w:rsid w:val="001C2BB7"/>
    <w:rsid w:val="001D225E"/>
    <w:rsid w:val="001D305C"/>
    <w:rsid w:val="001E0B80"/>
    <w:rsid w:val="001E1912"/>
    <w:rsid w:val="001E2495"/>
    <w:rsid w:val="001E5552"/>
    <w:rsid w:val="001E612E"/>
    <w:rsid w:val="001E6BD2"/>
    <w:rsid w:val="001E70A1"/>
    <w:rsid w:val="001E72D1"/>
    <w:rsid w:val="001F3166"/>
    <w:rsid w:val="001F6078"/>
    <w:rsid w:val="001F6D86"/>
    <w:rsid w:val="001F7B73"/>
    <w:rsid w:val="00201D03"/>
    <w:rsid w:val="00206E96"/>
    <w:rsid w:val="002109C1"/>
    <w:rsid w:val="0021133C"/>
    <w:rsid w:val="00212595"/>
    <w:rsid w:val="00216A5B"/>
    <w:rsid w:val="00217C57"/>
    <w:rsid w:val="002223D2"/>
    <w:rsid w:val="00223F1F"/>
    <w:rsid w:val="00226FBB"/>
    <w:rsid w:val="00230EF2"/>
    <w:rsid w:val="002358B9"/>
    <w:rsid w:val="002361C3"/>
    <w:rsid w:val="00240A17"/>
    <w:rsid w:val="00262E4A"/>
    <w:rsid w:val="00265632"/>
    <w:rsid w:val="00265D97"/>
    <w:rsid w:val="002677DE"/>
    <w:rsid w:val="00267995"/>
    <w:rsid w:val="00271768"/>
    <w:rsid w:val="002817FE"/>
    <w:rsid w:val="00282886"/>
    <w:rsid w:val="00283746"/>
    <w:rsid w:val="00285B02"/>
    <w:rsid w:val="0029145A"/>
    <w:rsid w:val="002929AB"/>
    <w:rsid w:val="00296C91"/>
    <w:rsid w:val="002A3591"/>
    <w:rsid w:val="002A3A0E"/>
    <w:rsid w:val="002A42C8"/>
    <w:rsid w:val="002B5A61"/>
    <w:rsid w:val="002BAE10"/>
    <w:rsid w:val="002C0AA4"/>
    <w:rsid w:val="002C189D"/>
    <w:rsid w:val="002C18F9"/>
    <w:rsid w:val="002D1B1A"/>
    <w:rsid w:val="002D47E1"/>
    <w:rsid w:val="002D62E4"/>
    <w:rsid w:val="002D7DD3"/>
    <w:rsid w:val="002E0008"/>
    <w:rsid w:val="002E7A18"/>
    <w:rsid w:val="002F1BFF"/>
    <w:rsid w:val="002F72B2"/>
    <w:rsid w:val="003022A0"/>
    <w:rsid w:val="00302EFC"/>
    <w:rsid w:val="00303119"/>
    <w:rsid w:val="00305D94"/>
    <w:rsid w:val="00314597"/>
    <w:rsid w:val="0031740C"/>
    <w:rsid w:val="00320CC0"/>
    <w:rsid w:val="00321394"/>
    <w:rsid w:val="003233DA"/>
    <w:rsid w:val="0032396B"/>
    <w:rsid w:val="00325A1C"/>
    <w:rsid w:val="00330961"/>
    <w:rsid w:val="003361A6"/>
    <w:rsid w:val="00342572"/>
    <w:rsid w:val="003425FB"/>
    <w:rsid w:val="00342A71"/>
    <w:rsid w:val="003466DB"/>
    <w:rsid w:val="00347577"/>
    <w:rsid w:val="00351E17"/>
    <w:rsid w:val="00354FFF"/>
    <w:rsid w:val="0035561F"/>
    <w:rsid w:val="00360AAB"/>
    <w:rsid w:val="00361754"/>
    <w:rsid w:val="0036288F"/>
    <w:rsid w:val="0036425D"/>
    <w:rsid w:val="00370BC8"/>
    <w:rsid w:val="0037302B"/>
    <w:rsid w:val="00377C95"/>
    <w:rsid w:val="003825EB"/>
    <w:rsid w:val="00382B16"/>
    <w:rsid w:val="00385BB1"/>
    <w:rsid w:val="00390FE3"/>
    <w:rsid w:val="00391619"/>
    <w:rsid w:val="00391A3F"/>
    <w:rsid w:val="00397B20"/>
    <w:rsid w:val="003A2775"/>
    <w:rsid w:val="003A3D32"/>
    <w:rsid w:val="003A3F5D"/>
    <w:rsid w:val="003A4A4A"/>
    <w:rsid w:val="003C17E3"/>
    <w:rsid w:val="003C1AC7"/>
    <w:rsid w:val="003D18B6"/>
    <w:rsid w:val="003D2FDD"/>
    <w:rsid w:val="003D3E10"/>
    <w:rsid w:val="003D40DC"/>
    <w:rsid w:val="003D4C10"/>
    <w:rsid w:val="003D5B33"/>
    <w:rsid w:val="003D5BC0"/>
    <w:rsid w:val="003D7264"/>
    <w:rsid w:val="003E0B64"/>
    <w:rsid w:val="003E401D"/>
    <w:rsid w:val="003E6BE7"/>
    <w:rsid w:val="003F0B28"/>
    <w:rsid w:val="004018BC"/>
    <w:rsid w:val="00411BA7"/>
    <w:rsid w:val="00414E78"/>
    <w:rsid w:val="00430AEE"/>
    <w:rsid w:val="0044374B"/>
    <w:rsid w:val="00446F1D"/>
    <w:rsid w:val="004502D9"/>
    <w:rsid w:val="00450487"/>
    <w:rsid w:val="00453F9E"/>
    <w:rsid w:val="00455E93"/>
    <w:rsid w:val="004571D8"/>
    <w:rsid w:val="00457609"/>
    <w:rsid w:val="004630C3"/>
    <w:rsid w:val="004667DF"/>
    <w:rsid w:val="00471CEB"/>
    <w:rsid w:val="004756AB"/>
    <w:rsid w:val="00475DDB"/>
    <w:rsid w:val="004835F0"/>
    <w:rsid w:val="004865F9"/>
    <w:rsid w:val="00486CB3"/>
    <w:rsid w:val="00490229"/>
    <w:rsid w:val="00496F60"/>
    <w:rsid w:val="004A0409"/>
    <w:rsid w:val="004A59DA"/>
    <w:rsid w:val="004A6B45"/>
    <w:rsid w:val="004B2F14"/>
    <w:rsid w:val="004B71C2"/>
    <w:rsid w:val="004D032C"/>
    <w:rsid w:val="004D256D"/>
    <w:rsid w:val="004D4233"/>
    <w:rsid w:val="004D4F27"/>
    <w:rsid w:val="004D6AA5"/>
    <w:rsid w:val="004D7804"/>
    <w:rsid w:val="004E2F29"/>
    <w:rsid w:val="004E3D35"/>
    <w:rsid w:val="004E62E7"/>
    <w:rsid w:val="004F247A"/>
    <w:rsid w:val="004F53F1"/>
    <w:rsid w:val="004F7E6F"/>
    <w:rsid w:val="00502FA9"/>
    <w:rsid w:val="0050494D"/>
    <w:rsid w:val="0050657D"/>
    <w:rsid w:val="005147E5"/>
    <w:rsid w:val="0051524D"/>
    <w:rsid w:val="005155DE"/>
    <w:rsid w:val="00520D8A"/>
    <w:rsid w:val="00525AD1"/>
    <w:rsid w:val="00535690"/>
    <w:rsid w:val="00537C8E"/>
    <w:rsid w:val="005519E6"/>
    <w:rsid w:val="00556F23"/>
    <w:rsid w:val="00561457"/>
    <w:rsid w:val="00567243"/>
    <w:rsid w:val="00576DEA"/>
    <w:rsid w:val="005838B2"/>
    <w:rsid w:val="005874FD"/>
    <w:rsid w:val="0058756D"/>
    <w:rsid w:val="00594CF4"/>
    <w:rsid w:val="005963D5"/>
    <w:rsid w:val="00596440"/>
    <w:rsid w:val="005A0F2C"/>
    <w:rsid w:val="005A1F92"/>
    <w:rsid w:val="005A24FE"/>
    <w:rsid w:val="005A5BA9"/>
    <w:rsid w:val="005A6549"/>
    <w:rsid w:val="005B47C1"/>
    <w:rsid w:val="005B6B1A"/>
    <w:rsid w:val="005C35A1"/>
    <w:rsid w:val="005D23F0"/>
    <w:rsid w:val="005D5066"/>
    <w:rsid w:val="005D7382"/>
    <w:rsid w:val="005E1159"/>
    <w:rsid w:val="005E1FC6"/>
    <w:rsid w:val="005E580B"/>
    <w:rsid w:val="005F2A91"/>
    <w:rsid w:val="005F3BFE"/>
    <w:rsid w:val="005F53E3"/>
    <w:rsid w:val="00601D21"/>
    <w:rsid w:val="00606214"/>
    <w:rsid w:val="00607FD5"/>
    <w:rsid w:val="00611E82"/>
    <w:rsid w:val="00611E8E"/>
    <w:rsid w:val="006143A3"/>
    <w:rsid w:val="006162B5"/>
    <w:rsid w:val="00626F9E"/>
    <w:rsid w:val="00631E64"/>
    <w:rsid w:val="00641F50"/>
    <w:rsid w:val="00643F3F"/>
    <w:rsid w:val="00644780"/>
    <w:rsid w:val="00646665"/>
    <w:rsid w:val="006507FD"/>
    <w:rsid w:val="00651738"/>
    <w:rsid w:val="00654336"/>
    <w:rsid w:val="006543DF"/>
    <w:rsid w:val="0065510F"/>
    <w:rsid w:val="006621A8"/>
    <w:rsid w:val="006679B4"/>
    <w:rsid w:val="00670003"/>
    <w:rsid w:val="0067342B"/>
    <w:rsid w:val="00676B53"/>
    <w:rsid w:val="00676D81"/>
    <w:rsid w:val="0067750B"/>
    <w:rsid w:val="006828D1"/>
    <w:rsid w:val="00685BAC"/>
    <w:rsid w:val="00687191"/>
    <w:rsid w:val="00687719"/>
    <w:rsid w:val="00696475"/>
    <w:rsid w:val="006A2179"/>
    <w:rsid w:val="006A2489"/>
    <w:rsid w:val="006A3EFF"/>
    <w:rsid w:val="006A6194"/>
    <w:rsid w:val="006A7E52"/>
    <w:rsid w:val="006B689E"/>
    <w:rsid w:val="006C0D19"/>
    <w:rsid w:val="006C666B"/>
    <w:rsid w:val="006C7F59"/>
    <w:rsid w:val="006D1A50"/>
    <w:rsid w:val="006E0BF9"/>
    <w:rsid w:val="006E7CB8"/>
    <w:rsid w:val="00700EBD"/>
    <w:rsid w:val="007022F6"/>
    <w:rsid w:val="007148A8"/>
    <w:rsid w:val="007175D4"/>
    <w:rsid w:val="0072067A"/>
    <w:rsid w:val="00721A19"/>
    <w:rsid w:val="0072212F"/>
    <w:rsid w:val="00725FAC"/>
    <w:rsid w:val="00733EFB"/>
    <w:rsid w:val="007377BC"/>
    <w:rsid w:val="007416BF"/>
    <w:rsid w:val="00743B4C"/>
    <w:rsid w:val="00744A79"/>
    <w:rsid w:val="00753FFF"/>
    <w:rsid w:val="00754890"/>
    <w:rsid w:val="007559FE"/>
    <w:rsid w:val="00764DB3"/>
    <w:rsid w:val="0077142B"/>
    <w:rsid w:val="0077270C"/>
    <w:rsid w:val="0077680C"/>
    <w:rsid w:val="00776BB4"/>
    <w:rsid w:val="00780E8F"/>
    <w:rsid w:val="00781A31"/>
    <w:rsid w:val="0078361E"/>
    <w:rsid w:val="0079333D"/>
    <w:rsid w:val="00795D13"/>
    <w:rsid w:val="007976D9"/>
    <w:rsid w:val="00797B14"/>
    <w:rsid w:val="007A3CC6"/>
    <w:rsid w:val="007A41E7"/>
    <w:rsid w:val="007A6368"/>
    <w:rsid w:val="007A7801"/>
    <w:rsid w:val="007B0BDE"/>
    <w:rsid w:val="007B70E2"/>
    <w:rsid w:val="007C3BC0"/>
    <w:rsid w:val="007D0DF7"/>
    <w:rsid w:val="007D4B17"/>
    <w:rsid w:val="007D50E0"/>
    <w:rsid w:val="007D63AE"/>
    <w:rsid w:val="007E1763"/>
    <w:rsid w:val="007E6184"/>
    <w:rsid w:val="007E6DA6"/>
    <w:rsid w:val="007F0B82"/>
    <w:rsid w:val="00807541"/>
    <w:rsid w:val="00811EBD"/>
    <w:rsid w:val="00815494"/>
    <w:rsid w:val="0081773D"/>
    <w:rsid w:val="00821A03"/>
    <w:rsid w:val="008235DF"/>
    <w:rsid w:val="00823F04"/>
    <w:rsid w:val="0082566D"/>
    <w:rsid w:val="0082577C"/>
    <w:rsid w:val="00827291"/>
    <w:rsid w:val="00831ED7"/>
    <w:rsid w:val="00836046"/>
    <w:rsid w:val="0083749C"/>
    <w:rsid w:val="00841873"/>
    <w:rsid w:val="00842867"/>
    <w:rsid w:val="0085328D"/>
    <w:rsid w:val="00855C00"/>
    <w:rsid w:val="0086384B"/>
    <w:rsid w:val="00864BCC"/>
    <w:rsid w:val="00865994"/>
    <w:rsid w:val="008739CB"/>
    <w:rsid w:val="0088247A"/>
    <w:rsid w:val="008842A3"/>
    <w:rsid w:val="00885801"/>
    <w:rsid w:val="00885FE2"/>
    <w:rsid w:val="00893D7E"/>
    <w:rsid w:val="008A3846"/>
    <w:rsid w:val="008A5FAF"/>
    <w:rsid w:val="008B0B82"/>
    <w:rsid w:val="008B16AE"/>
    <w:rsid w:val="008B1DDA"/>
    <w:rsid w:val="008B2A4B"/>
    <w:rsid w:val="008B3EB2"/>
    <w:rsid w:val="008B5A52"/>
    <w:rsid w:val="008B5AEF"/>
    <w:rsid w:val="008B77EF"/>
    <w:rsid w:val="008B7FBB"/>
    <w:rsid w:val="008C3A28"/>
    <w:rsid w:val="008D2BF8"/>
    <w:rsid w:val="008E0472"/>
    <w:rsid w:val="008E1F71"/>
    <w:rsid w:val="008E2BF3"/>
    <w:rsid w:val="008E3291"/>
    <w:rsid w:val="008F3E3A"/>
    <w:rsid w:val="008F5415"/>
    <w:rsid w:val="008F6344"/>
    <w:rsid w:val="008F715D"/>
    <w:rsid w:val="008F7623"/>
    <w:rsid w:val="009058DB"/>
    <w:rsid w:val="00907F8D"/>
    <w:rsid w:val="00913670"/>
    <w:rsid w:val="00913BD7"/>
    <w:rsid w:val="00921215"/>
    <w:rsid w:val="00921F8A"/>
    <w:rsid w:val="00935DD1"/>
    <w:rsid w:val="00937DFE"/>
    <w:rsid w:val="00944879"/>
    <w:rsid w:val="00945C9A"/>
    <w:rsid w:val="0095000B"/>
    <w:rsid w:val="009534A0"/>
    <w:rsid w:val="0096094E"/>
    <w:rsid w:val="00962AED"/>
    <w:rsid w:val="00964B5B"/>
    <w:rsid w:val="009654F6"/>
    <w:rsid w:val="009664E8"/>
    <w:rsid w:val="0097487E"/>
    <w:rsid w:val="00980767"/>
    <w:rsid w:val="00982964"/>
    <w:rsid w:val="0098360C"/>
    <w:rsid w:val="00983915"/>
    <w:rsid w:val="009905E8"/>
    <w:rsid w:val="00994F10"/>
    <w:rsid w:val="009A1C12"/>
    <w:rsid w:val="009A2E87"/>
    <w:rsid w:val="009A57F1"/>
    <w:rsid w:val="009A5B11"/>
    <w:rsid w:val="009B1167"/>
    <w:rsid w:val="009B1CE1"/>
    <w:rsid w:val="009B2EEE"/>
    <w:rsid w:val="009B6E34"/>
    <w:rsid w:val="009C0355"/>
    <w:rsid w:val="009D1E0C"/>
    <w:rsid w:val="009D410D"/>
    <w:rsid w:val="009D4A03"/>
    <w:rsid w:val="009D7858"/>
    <w:rsid w:val="009E3B71"/>
    <w:rsid w:val="009E5292"/>
    <w:rsid w:val="009F57DD"/>
    <w:rsid w:val="009F7EBB"/>
    <w:rsid w:val="00A010B2"/>
    <w:rsid w:val="00A014DA"/>
    <w:rsid w:val="00A03B52"/>
    <w:rsid w:val="00A05084"/>
    <w:rsid w:val="00A06888"/>
    <w:rsid w:val="00A11899"/>
    <w:rsid w:val="00A119BD"/>
    <w:rsid w:val="00A16264"/>
    <w:rsid w:val="00A16F94"/>
    <w:rsid w:val="00A248E4"/>
    <w:rsid w:val="00A262C3"/>
    <w:rsid w:val="00A26FFA"/>
    <w:rsid w:val="00A276F5"/>
    <w:rsid w:val="00A345D6"/>
    <w:rsid w:val="00A415B6"/>
    <w:rsid w:val="00A43060"/>
    <w:rsid w:val="00A51BA9"/>
    <w:rsid w:val="00A553CB"/>
    <w:rsid w:val="00A55FEE"/>
    <w:rsid w:val="00A5619C"/>
    <w:rsid w:val="00A561C7"/>
    <w:rsid w:val="00A57483"/>
    <w:rsid w:val="00A6586E"/>
    <w:rsid w:val="00A66719"/>
    <w:rsid w:val="00A67267"/>
    <w:rsid w:val="00A67A62"/>
    <w:rsid w:val="00A71029"/>
    <w:rsid w:val="00A71AD9"/>
    <w:rsid w:val="00A74BF3"/>
    <w:rsid w:val="00A74D3F"/>
    <w:rsid w:val="00A7683B"/>
    <w:rsid w:val="00A805E2"/>
    <w:rsid w:val="00A8175F"/>
    <w:rsid w:val="00A90FC9"/>
    <w:rsid w:val="00A91569"/>
    <w:rsid w:val="00A92049"/>
    <w:rsid w:val="00A93F6A"/>
    <w:rsid w:val="00AA117A"/>
    <w:rsid w:val="00AA3B0F"/>
    <w:rsid w:val="00AB0D04"/>
    <w:rsid w:val="00AB3087"/>
    <w:rsid w:val="00AC297C"/>
    <w:rsid w:val="00AC39C3"/>
    <w:rsid w:val="00AC5624"/>
    <w:rsid w:val="00AD1A50"/>
    <w:rsid w:val="00AD3549"/>
    <w:rsid w:val="00AD36F3"/>
    <w:rsid w:val="00AD5692"/>
    <w:rsid w:val="00AD5E74"/>
    <w:rsid w:val="00AD7754"/>
    <w:rsid w:val="00AD7E0C"/>
    <w:rsid w:val="00AE2CC3"/>
    <w:rsid w:val="00AE44AD"/>
    <w:rsid w:val="00AF07B0"/>
    <w:rsid w:val="00B01E3F"/>
    <w:rsid w:val="00B063B8"/>
    <w:rsid w:val="00B114F7"/>
    <w:rsid w:val="00B12309"/>
    <w:rsid w:val="00B207BE"/>
    <w:rsid w:val="00B301EE"/>
    <w:rsid w:val="00B359B5"/>
    <w:rsid w:val="00B436E8"/>
    <w:rsid w:val="00B45896"/>
    <w:rsid w:val="00B50200"/>
    <w:rsid w:val="00B50345"/>
    <w:rsid w:val="00B52644"/>
    <w:rsid w:val="00B528EB"/>
    <w:rsid w:val="00B6029E"/>
    <w:rsid w:val="00B62F75"/>
    <w:rsid w:val="00B67074"/>
    <w:rsid w:val="00B75623"/>
    <w:rsid w:val="00B768D1"/>
    <w:rsid w:val="00B77F95"/>
    <w:rsid w:val="00B80BD4"/>
    <w:rsid w:val="00B9170D"/>
    <w:rsid w:val="00BA2800"/>
    <w:rsid w:val="00BA2F46"/>
    <w:rsid w:val="00BA4FE1"/>
    <w:rsid w:val="00BA72C9"/>
    <w:rsid w:val="00BB31EF"/>
    <w:rsid w:val="00BB494B"/>
    <w:rsid w:val="00BB4A3F"/>
    <w:rsid w:val="00BB54B0"/>
    <w:rsid w:val="00BB759D"/>
    <w:rsid w:val="00BC0042"/>
    <w:rsid w:val="00BC6A2D"/>
    <w:rsid w:val="00BE1635"/>
    <w:rsid w:val="00BE20DD"/>
    <w:rsid w:val="00BF3131"/>
    <w:rsid w:val="00BF4C86"/>
    <w:rsid w:val="00BF6AC2"/>
    <w:rsid w:val="00C009D7"/>
    <w:rsid w:val="00C03DF1"/>
    <w:rsid w:val="00C05918"/>
    <w:rsid w:val="00C12FCA"/>
    <w:rsid w:val="00C16E54"/>
    <w:rsid w:val="00C20A45"/>
    <w:rsid w:val="00C20AE6"/>
    <w:rsid w:val="00C20D94"/>
    <w:rsid w:val="00C2172F"/>
    <w:rsid w:val="00C235A7"/>
    <w:rsid w:val="00C265A0"/>
    <w:rsid w:val="00C26A4F"/>
    <w:rsid w:val="00C27784"/>
    <w:rsid w:val="00C30D76"/>
    <w:rsid w:val="00C33A4A"/>
    <w:rsid w:val="00C35E1A"/>
    <w:rsid w:val="00C36C5F"/>
    <w:rsid w:val="00C36DB7"/>
    <w:rsid w:val="00C40AC8"/>
    <w:rsid w:val="00C4335B"/>
    <w:rsid w:val="00C43640"/>
    <w:rsid w:val="00C43FA6"/>
    <w:rsid w:val="00C4636A"/>
    <w:rsid w:val="00C5371D"/>
    <w:rsid w:val="00C55218"/>
    <w:rsid w:val="00C6151E"/>
    <w:rsid w:val="00C61F22"/>
    <w:rsid w:val="00C63461"/>
    <w:rsid w:val="00C654A7"/>
    <w:rsid w:val="00C7548D"/>
    <w:rsid w:val="00C80774"/>
    <w:rsid w:val="00C821BA"/>
    <w:rsid w:val="00C922B7"/>
    <w:rsid w:val="00C9494B"/>
    <w:rsid w:val="00C96DD7"/>
    <w:rsid w:val="00CA035A"/>
    <w:rsid w:val="00CA4B14"/>
    <w:rsid w:val="00CA65F0"/>
    <w:rsid w:val="00CA7219"/>
    <w:rsid w:val="00CA7A3D"/>
    <w:rsid w:val="00CB1220"/>
    <w:rsid w:val="00CB1252"/>
    <w:rsid w:val="00CB1FCF"/>
    <w:rsid w:val="00CB65E4"/>
    <w:rsid w:val="00CC116B"/>
    <w:rsid w:val="00CC1879"/>
    <w:rsid w:val="00CC3044"/>
    <w:rsid w:val="00CC3934"/>
    <w:rsid w:val="00CC3A5D"/>
    <w:rsid w:val="00CC5069"/>
    <w:rsid w:val="00CC5A99"/>
    <w:rsid w:val="00CD1AEC"/>
    <w:rsid w:val="00CD24AC"/>
    <w:rsid w:val="00CE084B"/>
    <w:rsid w:val="00CE39DE"/>
    <w:rsid w:val="00CE445B"/>
    <w:rsid w:val="00CE6F1F"/>
    <w:rsid w:val="00CF7B03"/>
    <w:rsid w:val="00D05EB3"/>
    <w:rsid w:val="00D136A4"/>
    <w:rsid w:val="00D15D79"/>
    <w:rsid w:val="00D16652"/>
    <w:rsid w:val="00D21DC1"/>
    <w:rsid w:val="00D2671C"/>
    <w:rsid w:val="00D4260A"/>
    <w:rsid w:val="00D467A4"/>
    <w:rsid w:val="00D50B08"/>
    <w:rsid w:val="00D64458"/>
    <w:rsid w:val="00D71A31"/>
    <w:rsid w:val="00D74290"/>
    <w:rsid w:val="00D82261"/>
    <w:rsid w:val="00D8428A"/>
    <w:rsid w:val="00D842E8"/>
    <w:rsid w:val="00D9151D"/>
    <w:rsid w:val="00D915B9"/>
    <w:rsid w:val="00DA0861"/>
    <w:rsid w:val="00DA0D57"/>
    <w:rsid w:val="00DA1851"/>
    <w:rsid w:val="00DA2049"/>
    <w:rsid w:val="00DA2AF5"/>
    <w:rsid w:val="00DA714B"/>
    <w:rsid w:val="00DB6020"/>
    <w:rsid w:val="00DB6291"/>
    <w:rsid w:val="00DB6655"/>
    <w:rsid w:val="00DB6EB0"/>
    <w:rsid w:val="00DC45A9"/>
    <w:rsid w:val="00DC7A7E"/>
    <w:rsid w:val="00DD42BC"/>
    <w:rsid w:val="00DD5BB5"/>
    <w:rsid w:val="00DF2473"/>
    <w:rsid w:val="00DF3F79"/>
    <w:rsid w:val="00E07F97"/>
    <w:rsid w:val="00E13FAC"/>
    <w:rsid w:val="00E14AA6"/>
    <w:rsid w:val="00E17991"/>
    <w:rsid w:val="00E21F2E"/>
    <w:rsid w:val="00E25885"/>
    <w:rsid w:val="00E25F9B"/>
    <w:rsid w:val="00E31A7D"/>
    <w:rsid w:val="00E3200D"/>
    <w:rsid w:val="00E362AB"/>
    <w:rsid w:val="00E376DF"/>
    <w:rsid w:val="00E3795E"/>
    <w:rsid w:val="00E40AA3"/>
    <w:rsid w:val="00E427B5"/>
    <w:rsid w:val="00E44550"/>
    <w:rsid w:val="00E47C71"/>
    <w:rsid w:val="00E47F82"/>
    <w:rsid w:val="00E55862"/>
    <w:rsid w:val="00E62B97"/>
    <w:rsid w:val="00E62EE3"/>
    <w:rsid w:val="00E634C3"/>
    <w:rsid w:val="00E65C3C"/>
    <w:rsid w:val="00E66853"/>
    <w:rsid w:val="00E72E89"/>
    <w:rsid w:val="00E74FA3"/>
    <w:rsid w:val="00E774E1"/>
    <w:rsid w:val="00E77CA8"/>
    <w:rsid w:val="00E805C7"/>
    <w:rsid w:val="00E83448"/>
    <w:rsid w:val="00E86981"/>
    <w:rsid w:val="00E8765B"/>
    <w:rsid w:val="00E923B2"/>
    <w:rsid w:val="00E979D3"/>
    <w:rsid w:val="00EA1102"/>
    <w:rsid w:val="00EA262F"/>
    <w:rsid w:val="00EA3B17"/>
    <w:rsid w:val="00EA74A4"/>
    <w:rsid w:val="00EB06C3"/>
    <w:rsid w:val="00EB1885"/>
    <w:rsid w:val="00EB5885"/>
    <w:rsid w:val="00EC4844"/>
    <w:rsid w:val="00EC7F0C"/>
    <w:rsid w:val="00ED0EA1"/>
    <w:rsid w:val="00ED264D"/>
    <w:rsid w:val="00ED3D8C"/>
    <w:rsid w:val="00EE1EC4"/>
    <w:rsid w:val="00EE35A8"/>
    <w:rsid w:val="00EE5A58"/>
    <w:rsid w:val="00EF3DF5"/>
    <w:rsid w:val="00EF4913"/>
    <w:rsid w:val="00EF4E91"/>
    <w:rsid w:val="00F01755"/>
    <w:rsid w:val="00F058D2"/>
    <w:rsid w:val="00F06561"/>
    <w:rsid w:val="00F07174"/>
    <w:rsid w:val="00F1065E"/>
    <w:rsid w:val="00F11588"/>
    <w:rsid w:val="00F1450A"/>
    <w:rsid w:val="00F16FF8"/>
    <w:rsid w:val="00F20416"/>
    <w:rsid w:val="00F24302"/>
    <w:rsid w:val="00F25D2C"/>
    <w:rsid w:val="00F267A7"/>
    <w:rsid w:val="00F30946"/>
    <w:rsid w:val="00F353EE"/>
    <w:rsid w:val="00F360A8"/>
    <w:rsid w:val="00F413D0"/>
    <w:rsid w:val="00F4555B"/>
    <w:rsid w:val="00F45F51"/>
    <w:rsid w:val="00F46123"/>
    <w:rsid w:val="00F47CD4"/>
    <w:rsid w:val="00F577F8"/>
    <w:rsid w:val="00F71470"/>
    <w:rsid w:val="00F7184E"/>
    <w:rsid w:val="00F76764"/>
    <w:rsid w:val="00F76A5E"/>
    <w:rsid w:val="00F77273"/>
    <w:rsid w:val="00F80CFE"/>
    <w:rsid w:val="00F81998"/>
    <w:rsid w:val="00F92C93"/>
    <w:rsid w:val="00F952CD"/>
    <w:rsid w:val="00F96136"/>
    <w:rsid w:val="00FA5BB1"/>
    <w:rsid w:val="00FA6F37"/>
    <w:rsid w:val="00FB1948"/>
    <w:rsid w:val="00FB31C2"/>
    <w:rsid w:val="00FB3953"/>
    <w:rsid w:val="00FC1020"/>
    <w:rsid w:val="00FC4F77"/>
    <w:rsid w:val="00FC6136"/>
    <w:rsid w:val="00FD04C7"/>
    <w:rsid w:val="00FE0B2D"/>
    <w:rsid w:val="00FE44ED"/>
    <w:rsid w:val="00FE7413"/>
    <w:rsid w:val="00FE7B26"/>
    <w:rsid w:val="00FF1538"/>
    <w:rsid w:val="00FF15BB"/>
    <w:rsid w:val="00FF2613"/>
    <w:rsid w:val="00FF5C88"/>
    <w:rsid w:val="00FF76A8"/>
    <w:rsid w:val="013E5ADC"/>
    <w:rsid w:val="02333C2D"/>
    <w:rsid w:val="026C8D65"/>
    <w:rsid w:val="02D47576"/>
    <w:rsid w:val="030445F4"/>
    <w:rsid w:val="03065E76"/>
    <w:rsid w:val="030B797F"/>
    <w:rsid w:val="0328307E"/>
    <w:rsid w:val="03878AE8"/>
    <w:rsid w:val="047F0782"/>
    <w:rsid w:val="04960B22"/>
    <w:rsid w:val="04C3C0A9"/>
    <w:rsid w:val="05235B49"/>
    <w:rsid w:val="05A98523"/>
    <w:rsid w:val="061AD7E3"/>
    <w:rsid w:val="06B632F2"/>
    <w:rsid w:val="06BF2BAA"/>
    <w:rsid w:val="06E8FD9B"/>
    <w:rsid w:val="0756D322"/>
    <w:rsid w:val="07CA7721"/>
    <w:rsid w:val="07FC6FDE"/>
    <w:rsid w:val="085AFC0B"/>
    <w:rsid w:val="08AB5C5F"/>
    <w:rsid w:val="08ABC106"/>
    <w:rsid w:val="0A2E3205"/>
    <w:rsid w:val="0AD8D4D0"/>
    <w:rsid w:val="0B11705B"/>
    <w:rsid w:val="0B4B55A9"/>
    <w:rsid w:val="0B75CE0D"/>
    <w:rsid w:val="0BC0F616"/>
    <w:rsid w:val="0C157C9E"/>
    <w:rsid w:val="0C1A0939"/>
    <w:rsid w:val="0CC116DC"/>
    <w:rsid w:val="0CCAEFB8"/>
    <w:rsid w:val="0D2267EE"/>
    <w:rsid w:val="0D4158D4"/>
    <w:rsid w:val="0D4D4620"/>
    <w:rsid w:val="0D4E4330"/>
    <w:rsid w:val="0D7ECD82"/>
    <w:rsid w:val="0D9CBC93"/>
    <w:rsid w:val="0DEDA55D"/>
    <w:rsid w:val="0DF6321F"/>
    <w:rsid w:val="0E360A17"/>
    <w:rsid w:val="0E49111D"/>
    <w:rsid w:val="0E5B2E80"/>
    <w:rsid w:val="0E5C2A9F"/>
    <w:rsid w:val="0E6491FC"/>
    <w:rsid w:val="0E6F3AF8"/>
    <w:rsid w:val="0E8CD91C"/>
    <w:rsid w:val="0EA0BBEC"/>
    <w:rsid w:val="0F0A1417"/>
    <w:rsid w:val="0F166CEB"/>
    <w:rsid w:val="0F2EB0D0"/>
    <w:rsid w:val="0F3CD410"/>
    <w:rsid w:val="0FB5AF78"/>
    <w:rsid w:val="0FE4E17E"/>
    <w:rsid w:val="10FC4EE2"/>
    <w:rsid w:val="1199A76B"/>
    <w:rsid w:val="11A5E515"/>
    <w:rsid w:val="122CF5C1"/>
    <w:rsid w:val="130147F5"/>
    <w:rsid w:val="1375D8A7"/>
    <w:rsid w:val="13BCB505"/>
    <w:rsid w:val="1415857C"/>
    <w:rsid w:val="14D1482D"/>
    <w:rsid w:val="14D90F92"/>
    <w:rsid w:val="1585AE6F"/>
    <w:rsid w:val="16D72B0C"/>
    <w:rsid w:val="177F8E26"/>
    <w:rsid w:val="179C6275"/>
    <w:rsid w:val="17A6779D"/>
    <w:rsid w:val="1816D8FC"/>
    <w:rsid w:val="18F8BEC0"/>
    <w:rsid w:val="194BBA6B"/>
    <w:rsid w:val="1986B108"/>
    <w:rsid w:val="1A0ECBCE"/>
    <w:rsid w:val="1B953278"/>
    <w:rsid w:val="1BFFC7D3"/>
    <w:rsid w:val="1C547CB5"/>
    <w:rsid w:val="1CA6496C"/>
    <w:rsid w:val="1CCF12CA"/>
    <w:rsid w:val="1CFD94D5"/>
    <w:rsid w:val="1DAEA8AD"/>
    <w:rsid w:val="1DC5AF54"/>
    <w:rsid w:val="1DE2212A"/>
    <w:rsid w:val="1EAB447B"/>
    <w:rsid w:val="1FAAA2A9"/>
    <w:rsid w:val="1FE023A6"/>
    <w:rsid w:val="200B5C43"/>
    <w:rsid w:val="204714DC"/>
    <w:rsid w:val="207BF8E7"/>
    <w:rsid w:val="2083C0D1"/>
    <w:rsid w:val="208C1C7C"/>
    <w:rsid w:val="20D04E9C"/>
    <w:rsid w:val="20D46D2A"/>
    <w:rsid w:val="211A2581"/>
    <w:rsid w:val="219F68D0"/>
    <w:rsid w:val="21D54B6B"/>
    <w:rsid w:val="23596A88"/>
    <w:rsid w:val="23B41C95"/>
    <w:rsid w:val="2558D0C2"/>
    <w:rsid w:val="259E0315"/>
    <w:rsid w:val="25C2395E"/>
    <w:rsid w:val="25DECF69"/>
    <w:rsid w:val="25ED330F"/>
    <w:rsid w:val="26FF313F"/>
    <w:rsid w:val="275E09BF"/>
    <w:rsid w:val="27E61B36"/>
    <w:rsid w:val="2824D9C8"/>
    <w:rsid w:val="293540F7"/>
    <w:rsid w:val="297A3E47"/>
    <w:rsid w:val="297CE22A"/>
    <w:rsid w:val="29E89EBF"/>
    <w:rsid w:val="2A017FE3"/>
    <w:rsid w:val="2A2003EC"/>
    <w:rsid w:val="2A4770D9"/>
    <w:rsid w:val="2AA25865"/>
    <w:rsid w:val="2AC61E04"/>
    <w:rsid w:val="2ACD6336"/>
    <w:rsid w:val="2B018940"/>
    <w:rsid w:val="2B138BD2"/>
    <w:rsid w:val="2B33EA6E"/>
    <w:rsid w:val="2BA55DB2"/>
    <w:rsid w:val="2D2A5D41"/>
    <w:rsid w:val="2DBE413E"/>
    <w:rsid w:val="2E499820"/>
    <w:rsid w:val="2E6793F4"/>
    <w:rsid w:val="2E69A42B"/>
    <w:rsid w:val="2E7D1366"/>
    <w:rsid w:val="2F4AA205"/>
    <w:rsid w:val="2F4FF347"/>
    <w:rsid w:val="2F9C02DB"/>
    <w:rsid w:val="2FD0C59E"/>
    <w:rsid w:val="301403DC"/>
    <w:rsid w:val="3069C127"/>
    <w:rsid w:val="3070C167"/>
    <w:rsid w:val="3137D33C"/>
    <w:rsid w:val="314052DC"/>
    <w:rsid w:val="316ECBB2"/>
    <w:rsid w:val="3181D30A"/>
    <w:rsid w:val="3197D038"/>
    <w:rsid w:val="3222854C"/>
    <w:rsid w:val="32964ABD"/>
    <w:rsid w:val="32C902D6"/>
    <w:rsid w:val="33795426"/>
    <w:rsid w:val="339916D5"/>
    <w:rsid w:val="33DADB76"/>
    <w:rsid w:val="342B51F0"/>
    <w:rsid w:val="345D118F"/>
    <w:rsid w:val="34702659"/>
    <w:rsid w:val="34C8EDB5"/>
    <w:rsid w:val="352A21F0"/>
    <w:rsid w:val="354B0B22"/>
    <w:rsid w:val="35D7D484"/>
    <w:rsid w:val="35E7D197"/>
    <w:rsid w:val="360B445F"/>
    <w:rsid w:val="3634ACEA"/>
    <w:rsid w:val="36595E90"/>
    <w:rsid w:val="36D38E5E"/>
    <w:rsid w:val="373ABA8D"/>
    <w:rsid w:val="38A35753"/>
    <w:rsid w:val="38B9677D"/>
    <w:rsid w:val="38FC281B"/>
    <w:rsid w:val="39226CF0"/>
    <w:rsid w:val="392960B7"/>
    <w:rsid w:val="393638D2"/>
    <w:rsid w:val="399C5ED8"/>
    <w:rsid w:val="39CE9A38"/>
    <w:rsid w:val="39EA9880"/>
    <w:rsid w:val="39FDE63E"/>
    <w:rsid w:val="3A11DB1E"/>
    <w:rsid w:val="3A451C01"/>
    <w:rsid w:val="3BAC3F22"/>
    <w:rsid w:val="3D360F62"/>
    <w:rsid w:val="3D6A1593"/>
    <w:rsid w:val="3DE075B1"/>
    <w:rsid w:val="3E4D599E"/>
    <w:rsid w:val="3E933730"/>
    <w:rsid w:val="3ED1DFC3"/>
    <w:rsid w:val="3F0E4D98"/>
    <w:rsid w:val="3F6E0497"/>
    <w:rsid w:val="3F7079BF"/>
    <w:rsid w:val="407CF6EF"/>
    <w:rsid w:val="40F4E976"/>
    <w:rsid w:val="40FF3296"/>
    <w:rsid w:val="41A770BD"/>
    <w:rsid w:val="41BD6C79"/>
    <w:rsid w:val="41DF7CD2"/>
    <w:rsid w:val="429B7B44"/>
    <w:rsid w:val="4328AD63"/>
    <w:rsid w:val="434CF0A4"/>
    <w:rsid w:val="437DEED0"/>
    <w:rsid w:val="43E2077D"/>
    <w:rsid w:val="44047DF5"/>
    <w:rsid w:val="4423F618"/>
    <w:rsid w:val="44590D56"/>
    <w:rsid w:val="44992089"/>
    <w:rsid w:val="4527F8EA"/>
    <w:rsid w:val="4539F90B"/>
    <w:rsid w:val="463D05AE"/>
    <w:rsid w:val="470EB487"/>
    <w:rsid w:val="4733E936"/>
    <w:rsid w:val="482B78ED"/>
    <w:rsid w:val="48C5772A"/>
    <w:rsid w:val="48F7D01C"/>
    <w:rsid w:val="4914B40C"/>
    <w:rsid w:val="49182772"/>
    <w:rsid w:val="49748C0F"/>
    <w:rsid w:val="49C7494E"/>
    <w:rsid w:val="49F161EF"/>
    <w:rsid w:val="4ACBED09"/>
    <w:rsid w:val="4B4F02BE"/>
    <w:rsid w:val="4C2A01FB"/>
    <w:rsid w:val="4C2E2548"/>
    <w:rsid w:val="4C4D1AB4"/>
    <w:rsid w:val="4C6B9EEB"/>
    <w:rsid w:val="4CC235E5"/>
    <w:rsid w:val="4CEA2364"/>
    <w:rsid w:val="4D4363A8"/>
    <w:rsid w:val="4DFC6465"/>
    <w:rsid w:val="4E10F4CC"/>
    <w:rsid w:val="4E2068D2"/>
    <w:rsid w:val="4E665112"/>
    <w:rsid w:val="4F608E5B"/>
    <w:rsid w:val="4F65C60A"/>
    <w:rsid w:val="4F712827"/>
    <w:rsid w:val="5025203D"/>
    <w:rsid w:val="50385BD2"/>
    <w:rsid w:val="511FC5F1"/>
    <w:rsid w:val="51304FBD"/>
    <w:rsid w:val="517511D5"/>
    <w:rsid w:val="51D42C33"/>
    <w:rsid w:val="51DDAE72"/>
    <w:rsid w:val="51EE9030"/>
    <w:rsid w:val="52592663"/>
    <w:rsid w:val="52E465EF"/>
    <w:rsid w:val="539D0C69"/>
    <w:rsid w:val="53A14B3A"/>
    <w:rsid w:val="53D1D041"/>
    <w:rsid w:val="5475420A"/>
    <w:rsid w:val="548A80BB"/>
    <w:rsid w:val="54AF5830"/>
    <w:rsid w:val="54D5BEA5"/>
    <w:rsid w:val="55460A3A"/>
    <w:rsid w:val="55765628"/>
    <w:rsid w:val="55E8F83C"/>
    <w:rsid w:val="560DD89F"/>
    <w:rsid w:val="5725AF4A"/>
    <w:rsid w:val="574F8745"/>
    <w:rsid w:val="579B6049"/>
    <w:rsid w:val="57E1229E"/>
    <w:rsid w:val="585E66FB"/>
    <w:rsid w:val="58F7F1B3"/>
    <w:rsid w:val="5912755F"/>
    <w:rsid w:val="59E55A9E"/>
    <w:rsid w:val="5A5A3471"/>
    <w:rsid w:val="5A5D500C"/>
    <w:rsid w:val="5AD1300B"/>
    <w:rsid w:val="5AD64F77"/>
    <w:rsid w:val="5BA1759E"/>
    <w:rsid w:val="5BB9AC74"/>
    <w:rsid w:val="5C721FD8"/>
    <w:rsid w:val="5C9FF0CE"/>
    <w:rsid w:val="5CEDFA0D"/>
    <w:rsid w:val="5D2BADC5"/>
    <w:rsid w:val="5D91D533"/>
    <w:rsid w:val="5DA94623"/>
    <w:rsid w:val="5DE2CF4A"/>
    <w:rsid w:val="5E399943"/>
    <w:rsid w:val="5F02FA5F"/>
    <w:rsid w:val="5F76B225"/>
    <w:rsid w:val="6063374D"/>
    <w:rsid w:val="609ECAC0"/>
    <w:rsid w:val="60CC9190"/>
    <w:rsid w:val="60D0774C"/>
    <w:rsid w:val="60D0792D"/>
    <w:rsid w:val="610E2912"/>
    <w:rsid w:val="6144F5BE"/>
    <w:rsid w:val="615110AC"/>
    <w:rsid w:val="62AF02A2"/>
    <w:rsid w:val="638C3CE4"/>
    <w:rsid w:val="63A73546"/>
    <w:rsid w:val="63D4341D"/>
    <w:rsid w:val="64757803"/>
    <w:rsid w:val="65C95C1D"/>
    <w:rsid w:val="65F318DE"/>
    <w:rsid w:val="66133D61"/>
    <w:rsid w:val="66D75958"/>
    <w:rsid w:val="66DED608"/>
    <w:rsid w:val="66E26DAD"/>
    <w:rsid w:val="67AD18C5"/>
    <w:rsid w:val="67FEB807"/>
    <w:rsid w:val="68678004"/>
    <w:rsid w:val="68ADBBA8"/>
    <w:rsid w:val="692581F1"/>
    <w:rsid w:val="69442E61"/>
    <w:rsid w:val="6948E926"/>
    <w:rsid w:val="69A45284"/>
    <w:rsid w:val="69E813BE"/>
    <w:rsid w:val="69F82F01"/>
    <w:rsid w:val="6A192BDA"/>
    <w:rsid w:val="6A21D96A"/>
    <w:rsid w:val="6A6185BB"/>
    <w:rsid w:val="6AFB40C4"/>
    <w:rsid w:val="6AFEAB32"/>
    <w:rsid w:val="6BAB799A"/>
    <w:rsid w:val="6BCC47A8"/>
    <w:rsid w:val="6C5D22B3"/>
    <w:rsid w:val="6C64AAC5"/>
    <w:rsid w:val="6C9233FE"/>
    <w:rsid w:val="6DF8F314"/>
    <w:rsid w:val="6E33E71D"/>
    <w:rsid w:val="6EECFD9B"/>
    <w:rsid w:val="6FAB5D39"/>
    <w:rsid w:val="7049611B"/>
    <w:rsid w:val="7073BD4E"/>
    <w:rsid w:val="7079CFB4"/>
    <w:rsid w:val="70AF7473"/>
    <w:rsid w:val="71102DAE"/>
    <w:rsid w:val="71455A82"/>
    <w:rsid w:val="7183C14E"/>
    <w:rsid w:val="721C6943"/>
    <w:rsid w:val="734D8516"/>
    <w:rsid w:val="73637AC1"/>
    <w:rsid w:val="73CA6602"/>
    <w:rsid w:val="747ECC44"/>
    <w:rsid w:val="74FB8A7A"/>
    <w:rsid w:val="75EADC9C"/>
    <w:rsid w:val="75FCC692"/>
    <w:rsid w:val="76054B31"/>
    <w:rsid w:val="763C0739"/>
    <w:rsid w:val="7709259E"/>
    <w:rsid w:val="772C7573"/>
    <w:rsid w:val="7737E4D1"/>
    <w:rsid w:val="779896F3"/>
    <w:rsid w:val="7814C7A8"/>
    <w:rsid w:val="78733225"/>
    <w:rsid w:val="787A6FF0"/>
    <w:rsid w:val="78DFB87F"/>
    <w:rsid w:val="78F5B4C5"/>
    <w:rsid w:val="792F5692"/>
    <w:rsid w:val="79523D67"/>
    <w:rsid w:val="7973A7FB"/>
    <w:rsid w:val="79A39E3D"/>
    <w:rsid w:val="7A164051"/>
    <w:rsid w:val="7A34242E"/>
    <w:rsid w:val="7A39A786"/>
    <w:rsid w:val="7AEE0DC8"/>
    <w:rsid w:val="7BAA232C"/>
    <w:rsid w:val="7BB74861"/>
    <w:rsid w:val="7BCD8078"/>
    <w:rsid w:val="7BD095E4"/>
    <w:rsid w:val="7BE2256C"/>
    <w:rsid w:val="7BF82E7F"/>
    <w:rsid w:val="7C006D35"/>
    <w:rsid w:val="7C37FFE5"/>
    <w:rsid w:val="7C73467D"/>
    <w:rsid w:val="7D2B5FD2"/>
    <w:rsid w:val="7D3992D7"/>
    <w:rsid w:val="7D8754B1"/>
    <w:rsid w:val="7E100CF1"/>
    <w:rsid w:val="7E299677"/>
    <w:rsid w:val="7F2D819A"/>
    <w:rsid w:val="7FA68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B41E"/>
  <w15:chartTrackingRefBased/>
  <w15:docId w15:val="{0EF0F9D9-C39A-4326-851E-5A37599E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BB759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F715D"/>
    <w:pPr>
      <w:widowControl w:val="0"/>
      <w:autoSpaceDE w:val="0"/>
      <w:autoSpaceDN w:val="0"/>
      <w:spacing w:after="0" w:line="240" w:lineRule="auto"/>
      <w:ind w:left="112"/>
      <w:jc w:val="both"/>
    </w:pPr>
    <w:rPr>
      <w:rFonts w:ascii="Garamond" w:eastAsia="Garamond" w:hAnsi="Garamond" w:cs="Garamond"/>
      <w:sz w:val="24"/>
      <w:szCs w:val="24"/>
    </w:rPr>
  </w:style>
  <w:style w:type="character" w:customStyle="1" w:styleId="CorpotestoCarattere">
    <w:name w:val="Corpo testo Carattere"/>
    <w:basedOn w:val="Carpredefinitoparagrafo"/>
    <w:link w:val="Corpotesto"/>
    <w:uiPriority w:val="1"/>
    <w:rsid w:val="008F715D"/>
    <w:rPr>
      <w:rFonts w:ascii="Garamond" w:eastAsia="Garamond" w:hAnsi="Garamond" w:cs="Garamond"/>
      <w:sz w:val="24"/>
      <w:szCs w:val="24"/>
    </w:rPr>
  </w:style>
  <w:style w:type="paragraph" w:styleId="Paragrafoelenco">
    <w:name w:val="List Paragraph"/>
    <w:aliases w:val="Elenco Puntato PIPPI"/>
    <w:basedOn w:val="Normale"/>
    <w:link w:val="ParagrafoelencoCarattere"/>
    <w:uiPriority w:val="34"/>
    <w:qFormat/>
    <w:rsid w:val="008F715D"/>
    <w:pPr>
      <w:ind w:left="720"/>
      <w:contextualSpacing/>
    </w:pPr>
  </w:style>
  <w:style w:type="character" w:styleId="Rimandocommento">
    <w:name w:val="annotation reference"/>
    <w:basedOn w:val="Carpredefinitoparagrafo"/>
    <w:uiPriority w:val="99"/>
    <w:semiHidden/>
    <w:unhideWhenUsed/>
    <w:rsid w:val="00087679"/>
    <w:rPr>
      <w:sz w:val="16"/>
      <w:szCs w:val="16"/>
    </w:rPr>
  </w:style>
  <w:style w:type="paragraph" w:styleId="Testocommento">
    <w:name w:val="annotation text"/>
    <w:basedOn w:val="Normale"/>
    <w:link w:val="TestocommentoCarattere"/>
    <w:uiPriority w:val="99"/>
    <w:unhideWhenUsed/>
    <w:rsid w:val="000876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087679"/>
    <w:rPr>
      <w:sz w:val="20"/>
      <w:szCs w:val="20"/>
    </w:rPr>
  </w:style>
  <w:style w:type="paragraph" w:styleId="Soggettocommento">
    <w:name w:val="annotation subject"/>
    <w:basedOn w:val="Testocommento"/>
    <w:next w:val="Testocommento"/>
    <w:link w:val="SoggettocommentoCarattere"/>
    <w:uiPriority w:val="99"/>
    <w:semiHidden/>
    <w:unhideWhenUsed/>
    <w:rsid w:val="00087679"/>
    <w:rPr>
      <w:b/>
      <w:bCs/>
    </w:rPr>
  </w:style>
  <w:style w:type="character" w:customStyle="1" w:styleId="SoggettocommentoCarattere">
    <w:name w:val="Soggetto commento Carattere"/>
    <w:basedOn w:val="TestocommentoCarattere"/>
    <w:link w:val="Soggettocommento"/>
    <w:uiPriority w:val="99"/>
    <w:semiHidden/>
    <w:rsid w:val="00087679"/>
    <w:rPr>
      <w:b/>
      <w:bCs/>
      <w:sz w:val="20"/>
      <w:szCs w:val="20"/>
    </w:rPr>
  </w:style>
  <w:style w:type="table" w:styleId="Grigliatabella">
    <w:name w:val="Table Grid"/>
    <w:basedOn w:val="Tabellanormale"/>
    <w:uiPriority w:val="39"/>
    <w:rsid w:val="00201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BB759D"/>
    <w:rPr>
      <w:rFonts w:ascii="Times New Roman" w:eastAsia="Times New Roman" w:hAnsi="Times New Roman" w:cs="Times New Roman"/>
      <w:b/>
      <w:bCs/>
      <w:sz w:val="27"/>
      <w:szCs w:val="27"/>
      <w:lang w:eastAsia="it-IT"/>
    </w:r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character" w:styleId="Collegamentoipertestuale">
    <w:name w:val="Hyperlink"/>
    <w:basedOn w:val="Carpredefinitoparagrafo"/>
    <w:uiPriority w:val="99"/>
    <w:unhideWhenUsed/>
    <w:rsid w:val="00F96136"/>
    <w:rPr>
      <w:color w:val="0563C1" w:themeColor="hyperlink"/>
      <w:u w:val="single"/>
    </w:rPr>
  </w:style>
  <w:style w:type="character" w:styleId="Menzionenonrisolta">
    <w:name w:val="Unresolved Mention"/>
    <w:basedOn w:val="Carpredefinitoparagrafo"/>
    <w:uiPriority w:val="99"/>
    <w:semiHidden/>
    <w:unhideWhenUsed/>
    <w:rsid w:val="00F96136"/>
    <w:rPr>
      <w:color w:val="605E5C"/>
      <w:shd w:val="clear" w:color="auto" w:fill="E1DFDD"/>
    </w:rPr>
  </w:style>
  <w:style w:type="character" w:customStyle="1" w:styleId="normaltextrun">
    <w:name w:val="normaltextrun"/>
    <w:basedOn w:val="Carpredefinitoparagrafo"/>
    <w:uiPriority w:val="1"/>
    <w:rsid w:val="00F413D0"/>
  </w:style>
  <w:style w:type="character" w:customStyle="1" w:styleId="eop">
    <w:name w:val="eop"/>
    <w:basedOn w:val="Carpredefinitoparagrafo"/>
    <w:rsid w:val="00F413D0"/>
  </w:style>
  <w:style w:type="character" w:customStyle="1" w:styleId="ParagrafoelencoCarattere">
    <w:name w:val="Paragrafo elenco Carattere"/>
    <w:aliases w:val="Elenco Puntato PIPPI Carattere"/>
    <w:link w:val="Paragrafoelenco"/>
    <w:uiPriority w:val="1"/>
    <w:locked/>
    <w:rsid w:val="00385BB1"/>
  </w:style>
  <w:style w:type="paragraph" w:customStyle="1" w:styleId="paragraph">
    <w:name w:val="paragraph"/>
    <w:basedOn w:val="Normale"/>
    <w:rsid w:val="00A805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abchar">
    <w:name w:val="tabchar"/>
    <w:basedOn w:val="Carpredefinitoparagrafo"/>
    <w:rsid w:val="00230EF2"/>
  </w:style>
  <w:style w:type="paragraph" w:styleId="NormaleWeb">
    <w:name w:val="Normal (Web)"/>
    <w:basedOn w:val="Normale"/>
    <w:uiPriority w:val="99"/>
    <w:unhideWhenUsed/>
    <w:rsid w:val="00913B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8B77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8549">
      <w:bodyDiv w:val="1"/>
      <w:marLeft w:val="0"/>
      <w:marRight w:val="0"/>
      <w:marTop w:val="0"/>
      <w:marBottom w:val="0"/>
      <w:divBdr>
        <w:top w:val="none" w:sz="0" w:space="0" w:color="auto"/>
        <w:left w:val="none" w:sz="0" w:space="0" w:color="auto"/>
        <w:bottom w:val="none" w:sz="0" w:space="0" w:color="auto"/>
        <w:right w:val="none" w:sz="0" w:space="0" w:color="auto"/>
      </w:divBdr>
    </w:div>
    <w:div w:id="324600051">
      <w:bodyDiv w:val="1"/>
      <w:marLeft w:val="0"/>
      <w:marRight w:val="0"/>
      <w:marTop w:val="0"/>
      <w:marBottom w:val="0"/>
      <w:divBdr>
        <w:top w:val="none" w:sz="0" w:space="0" w:color="auto"/>
        <w:left w:val="none" w:sz="0" w:space="0" w:color="auto"/>
        <w:bottom w:val="none" w:sz="0" w:space="0" w:color="auto"/>
        <w:right w:val="none" w:sz="0" w:space="0" w:color="auto"/>
      </w:divBdr>
    </w:div>
    <w:div w:id="382605498">
      <w:bodyDiv w:val="1"/>
      <w:marLeft w:val="0"/>
      <w:marRight w:val="0"/>
      <w:marTop w:val="0"/>
      <w:marBottom w:val="0"/>
      <w:divBdr>
        <w:top w:val="none" w:sz="0" w:space="0" w:color="auto"/>
        <w:left w:val="none" w:sz="0" w:space="0" w:color="auto"/>
        <w:bottom w:val="none" w:sz="0" w:space="0" w:color="auto"/>
        <w:right w:val="none" w:sz="0" w:space="0" w:color="auto"/>
      </w:divBdr>
      <w:divsChild>
        <w:div w:id="1284848776">
          <w:marLeft w:val="0"/>
          <w:marRight w:val="0"/>
          <w:marTop w:val="0"/>
          <w:marBottom w:val="0"/>
          <w:divBdr>
            <w:top w:val="none" w:sz="0" w:space="0" w:color="auto"/>
            <w:left w:val="none" w:sz="0" w:space="0" w:color="auto"/>
            <w:bottom w:val="none" w:sz="0" w:space="0" w:color="auto"/>
            <w:right w:val="none" w:sz="0" w:space="0" w:color="auto"/>
          </w:divBdr>
        </w:div>
        <w:div w:id="1032072645">
          <w:marLeft w:val="0"/>
          <w:marRight w:val="0"/>
          <w:marTop w:val="0"/>
          <w:marBottom w:val="0"/>
          <w:divBdr>
            <w:top w:val="none" w:sz="0" w:space="0" w:color="auto"/>
            <w:left w:val="none" w:sz="0" w:space="0" w:color="auto"/>
            <w:bottom w:val="none" w:sz="0" w:space="0" w:color="auto"/>
            <w:right w:val="none" w:sz="0" w:space="0" w:color="auto"/>
          </w:divBdr>
        </w:div>
        <w:div w:id="41948464">
          <w:marLeft w:val="0"/>
          <w:marRight w:val="0"/>
          <w:marTop w:val="0"/>
          <w:marBottom w:val="0"/>
          <w:divBdr>
            <w:top w:val="none" w:sz="0" w:space="0" w:color="auto"/>
            <w:left w:val="none" w:sz="0" w:space="0" w:color="auto"/>
            <w:bottom w:val="none" w:sz="0" w:space="0" w:color="auto"/>
            <w:right w:val="none" w:sz="0" w:space="0" w:color="auto"/>
          </w:divBdr>
        </w:div>
        <w:div w:id="1374160203">
          <w:marLeft w:val="0"/>
          <w:marRight w:val="0"/>
          <w:marTop w:val="0"/>
          <w:marBottom w:val="0"/>
          <w:divBdr>
            <w:top w:val="none" w:sz="0" w:space="0" w:color="auto"/>
            <w:left w:val="none" w:sz="0" w:space="0" w:color="auto"/>
            <w:bottom w:val="none" w:sz="0" w:space="0" w:color="auto"/>
            <w:right w:val="none" w:sz="0" w:space="0" w:color="auto"/>
          </w:divBdr>
        </w:div>
      </w:divsChild>
    </w:div>
    <w:div w:id="528030070">
      <w:bodyDiv w:val="1"/>
      <w:marLeft w:val="0"/>
      <w:marRight w:val="0"/>
      <w:marTop w:val="0"/>
      <w:marBottom w:val="0"/>
      <w:divBdr>
        <w:top w:val="none" w:sz="0" w:space="0" w:color="auto"/>
        <w:left w:val="none" w:sz="0" w:space="0" w:color="auto"/>
        <w:bottom w:val="none" w:sz="0" w:space="0" w:color="auto"/>
        <w:right w:val="none" w:sz="0" w:space="0" w:color="auto"/>
      </w:divBdr>
    </w:div>
    <w:div w:id="616838599">
      <w:bodyDiv w:val="1"/>
      <w:marLeft w:val="0"/>
      <w:marRight w:val="0"/>
      <w:marTop w:val="0"/>
      <w:marBottom w:val="0"/>
      <w:divBdr>
        <w:top w:val="none" w:sz="0" w:space="0" w:color="auto"/>
        <w:left w:val="none" w:sz="0" w:space="0" w:color="auto"/>
        <w:bottom w:val="none" w:sz="0" w:space="0" w:color="auto"/>
        <w:right w:val="none" w:sz="0" w:space="0" w:color="auto"/>
      </w:divBdr>
    </w:div>
    <w:div w:id="688145123">
      <w:bodyDiv w:val="1"/>
      <w:marLeft w:val="0"/>
      <w:marRight w:val="0"/>
      <w:marTop w:val="0"/>
      <w:marBottom w:val="0"/>
      <w:divBdr>
        <w:top w:val="none" w:sz="0" w:space="0" w:color="auto"/>
        <w:left w:val="none" w:sz="0" w:space="0" w:color="auto"/>
        <w:bottom w:val="none" w:sz="0" w:space="0" w:color="auto"/>
        <w:right w:val="none" w:sz="0" w:space="0" w:color="auto"/>
      </w:divBdr>
      <w:divsChild>
        <w:div w:id="2012439980">
          <w:marLeft w:val="0"/>
          <w:marRight w:val="0"/>
          <w:marTop w:val="0"/>
          <w:marBottom w:val="0"/>
          <w:divBdr>
            <w:top w:val="none" w:sz="0" w:space="0" w:color="auto"/>
            <w:left w:val="none" w:sz="0" w:space="0" w:color="auto"/>
            <w:bottom w:val="none" w:sz="0" w:space="0" w:color="auto"/>
            <w:right w:val="none" w:sz="0" w:space="0" w:color="auto"/>
          </w:divBdr>
          <w:divsChild>
            <w:div w:id="830488992">
              <w:marLeft w:val="0"/>
              <w:marRight w:val="0"/>
              <w:marTop w:val="0"/>
              <w:marBottom w:val="0"/>
              <w:divBdr>
                <w:top w:val="none" w:sz="0" w:space="0" w:color="auto"/>
                <w:left w:val="none" w:sz="0" w:space="0" w:color="auto"/>
                <w:bottom w:val="none" w:sz="0" w:space="0" w:color="auto"/>
                <w:right w:val="none" w:sz="0" w:space="0" w:color="auto"/>
              </w:divBdr>
            </w:div>
            <w:div w:id="677460685">
              <w:marLeft w:val="0"/>
              <w:marRight w:val="0"/>
              <w:marTop w:val="0"/>
              <w:marBottom w:val="0"/>
              <w:divBdr>
                <w:top w:val="none" w:sz="0" w:space="0" w:color="auto"/>
                <w:left w:val="none" w:sz="0" w:space="0" w:color="auto"/>
                <w:bottom w:val="none" w:sz="0" w:space="0" w:color="auto"/>
                <w:right w:val="none" w:sz="0" w:space="0" w:color="auto"/>
              </w:divBdr>
            </w:div>
            <w:div w:id="1546335619">
              <w:marLeft w:val="0"/>
              <w:marRight w:val="0"/>
              <w:marTop w:val="0"/>
              <w:marBottom w:val="0"/>
              <w:divBdr>
                <w:top w:val="none" w:sz="0" w:space="0" w:color="auto"/>
                <w:left w:val="none" w:sz="0" w:space="0" w:color="auto"/>
                <w:bottom w:val="none" w:sz="0" w:space="0" w:color="auto"/>
                <w:right w:val="none" w:sz="0" w:space="0" w:color="auto"/>
              </w:divBdr>
            </w:div>
            <w:div w:id="132800038">
              <w:marLeft w:val="0"/>
              <w:marRight w:val="0"/>
              <w:marTop w:val="0"/>
              <w:marBottom w:val="0"/>
              <w:divBdr>
                <w:top w:val="none" w:sz="0" w:space="0" w:color="auto"/>
                <w:left w:val="none" w:sz="0" w:space="0" w:color="auto"/>
                <w:bottom w:val="none" w:sz="0" w:space="0" w:color="auto"/>
                <w:right w:val="none" w:sz="0" w:space="0" w:color="auto"/>
              </w:divBdr>
            </w:div>
          </w:divsChild>
        </w:div>
        <w:div w:id="301231059">
          <w:marLeft w:val="0"/>
          <w:marRight w:val="0"/>
          <w:marTop w:val="0"/>
          <w:marBottom w:val="0"/>
          <w:divBdr>
            <w:top w:val="none" w:sz="0" w:space="0" w:color="auto"/>
            <w:left w:val="none" w:sz="0" w:space="0" w:color="auto"/>
            <w:bottom w:val="none" w:sz="0" w:space="0" w:color="auto"/>
            <w:right w:val="none" w:sz="0" w:space="0" w:color="auto"/>
          </w:divBdr>
        </w:div>
      </w:divsChild>
    </w:div>
    <w:div w:id="958685627">
      <w:bodyDiv w:val="1"/>
      <w:marLeft w:val="0"/>
      <w:marRight w:val="0"/>
      <w:marTop w:val="0"/>
      <w:marBottom w:val="0"/>
      <w:divBdr>
        <w:top w:val="none" w:sz="0" w:space="0" w:color="auto"/>
        <w:left w:val="none" w:sz="0" w:space="0" w:color="auto"/>
        <w:bottom w:val="none" w:sz="0" w:space="0" w:color="auto"/>
        <w:right w:val="none" w:sz="0" w:space="0" w:color="auto"/>
      </w:divBdr>
      <w:divsChild>
        <w:div w:id="517503461">
          <w:marLeft w:val="0"/>
          <w:marRight w:val="0"/>
          <w:marTop w:val="0"/>
          <w:marBottom w:val="0"/>
          <w:divBdr>
            <w:top w:val="none" w:sz="0" w:space="0" w:color="auto"/>
            <w:left w:val="none" w:sz="0" w:space="0" w:color="auto"/>
            <w:bottom w:val="none" w:sz="0" w:space="0" w:color="auto"/>
            <w:right w:val="none" w:sz="0" w:space="0" w:color="auto"/>
          </w:divBdr>
        </w:div>
        <w:div w:id="280769826">
          <w:marLeft w:val="0"/>
          <w:marRight w:val="0"/>
          <w:marTop w:val="0"/>
          <w:marBottom w:val="0"/>
          <w:divBdr>
            <w:top w:val="none" w:sz="0" w:space="0" w:color="auto"/>
            <w:left w:val="none" w:sz="0" w:space="0" w:color="auto"/>
            <w:bottom w:val="none" w:sz="0" w:space="0" w:color="auto"/>
            <w:right w:val="none" w:sz="0" w:space="0" w:color="auto"/>
          </w:divBdr>
        </w:div>
        <w:div w:id="129901926">
          <w:marLeft w:val="0"/>
          <w:marRight w:val="0"/>
          <w:marTop w:val="0"/>
          <w:marBottom w:val="0"/>
          <w:divBdr>
            <w:top w:val="none" w:sz="0" w:space="0" w:color="auto"/>
            <w:left w:val="none" w:sz="0" w:space="0" w:color="auto"/>
            <w:bottom w:val="none" w:sz="0" w:space="0" w:color="auto"/>
            <w:right w:val="none" w:sz="0" w:space="0" w:color="auto"/>
          </w:divBdr>
        </w:div>
        <w:div w:id="646322136">
          <w:marLeft w:val="0"/>
          <w:marRight w:val="0"/>
          <w:marTop w:val="0"/>
          <w:marBottom w:val="0"/>
          <w:divBdr>
            <w:top w:val="none" w:sz="0" w:space="0" w:color="auto"/>
            <w:left w:val="none" w:sz="0" w:space="0" w:color="auto"/>
            <w:bottom w:val="none" w:sz="0" w:space="0" w:color="auto"/>
            <w:right w:val="none" w:sz="0" w:space="0" w:color="auto"/>
          </w:divBdr>
        </w:div>
        <w:div w:id="378282335">
          <w:marLeft w:val="0"/>
          <w:marRight w:val="0"/>
          <w:marTop w:val="0"/>
          <w:marBottom w:val="0"/>
          <w:divBdr>
            <w:top w:val="none" w:sz="0" w:space="0" w:color="auto"/>
            <w:left w:val="none" w:sz="0" w:space="0" w:color="auto"/>
            <w:bottom w:val="none" w:sz="0" w:space="0" w:color="auto"/>
            <w:right w:val="none" w:sz="0" w:space="0" w:color="auto"/>
          </w:divBdr>
        </w:div>
        <w:div w:id="2075467603">
          <w:marLeft w:val="0"/>
          <w:marRight w:val="0"/>
          <w:marTop w:val="0"/>
          <w:marBottom w:val="0"/>
          <w:divBdr>
            <w:top w:val="none" w:sz="0" w:space="0" w:color="auto"/>
            <w:left w:val="none" w:sz="0" w:space="0" w:color="auto"/>
            <w:bottom w:val="none" w:sz="0" w:space="0" w:color="auto"/>
            <w:right w:val="none" w:sz="0" w:space="0" w:color="auto"/>
          </w:divBdr>
        </w:div>
        <w:div w:id="1974362500">
          <w:marLeft w:val="0"/>
          <w:marRight w:val="0"/>
          <w:marTop w:val="0"/>
          <w:marBottom w:val="0"/>
          <w:divBdr>
            <w:top w:val="none" w:sz="0" w:space="0" w:color="auto"/>
            <w:left w:val="none" w:sz="0" w:space="0" w:color="auto"/>
            <w:bottom w:val="none" w:sz="0" w:space="0" w:color="auto"/>
            <w:right w:val="none" w:sz="0" w:space="0" w:color="auto"/>
          </w:divBdr>
        </w:div>
        <w:div w:id="681661074">
          <w:marLeft w:val="0"/>
          <w:marRight w:val="0"/>
          <w:marTop w:val="0"/>
          <w:marBottom w:val="0"/>
          <w:divBdr>
            <w:top w:val="none" w:sz="0" w:space="0" w:color="auto"/>
            <w:left w:val="none" w:sz="0" w:space="0" w:color="auto"/>
            <w:bottom w:val="none" w:sz="0" w:space="0" w:color="auto"/>
            <w:right w:val="none" w:sz="0" w:space="0" w:color="auto"/>
          </w:divBdr>
        </w:div>
        <w:div w:id="2146239790">
          <w:marLeft w:val="0"/>
          <w:marRight w:val="0"/>
          <w:marTop w:val="0"/>
          <w:marBottom w:val="0"/>
          <w:divBdr>
            <w:top w:val="none" w:sz="0" w:space="0" w:color="auto"/>
            <w:left w:val="none" w:sz="0" w:space="0" w:color="auto"/>
            <w:bottom w:val="none" w:sz="0" w:space="0" w:color="auto"/>
            <w:right w:val="none" w:sz="0" w:space="0" w:color="auto"/>
          </w:divBdr>
        </w:div>
        <w:div w:id="1270697296">
          <w:marLeft w:val="0"/>
          <w:marRight w:val="0"/>
          <w:marTop w:val="0"/>
          <w:marBottom w:val="0"/>
          <w:divBdr>
            <w:top w:val="none" w:sz="0" w:space="0" w:color="auto"/>
            <w:left w:val="none" w:sz="0" w:space="0" w:color="auto"/>
            <w:bottom w:val="none" w:sz="0" w:space="0" w:color="auto"/>
            <w:right w:val="none" w:sz="0" w:space="0" w:color="auto"/>
          </w:divBdr>
        </w:div>
        <w:div w:id="154538931">
          <w:marLeft w:val="0"/>
          <w:marRight w:val="0"/>
          <w:marTop w:val="0"/>
          <w:marBottom w:val="0"/>
          <w:divBdr>
            <w:top w:val="none" w:sz="0" w:space="0" w:color="auto"/>
            <w:left w:val="none" w:sz="0" w:space="0" w:color="auto"/>
            <w:bottom w:val="none" w:sz="0" w:space="0" w:color="auto"/>
            <w:right w:val="none" w:sz="0" w:space="0" w:color="auto"/>
          </w:divBdr>
        </w:div>
        <w:div w:id="1228878737">
          <w:marLeft w:val="0"/>
          <w:marRight w:val="0"/>
          <w:marTop w:val="0"/>
          <w:marBottom w:val="0"/>
          <w:divBdr>
            <w:top w:val="none" w:sz="0" w:space="0" w:color="auto"/>
            <w:left w:val="none" w:sz="0" w:space="0" w:color="auto"/>
            <w:bottom w:val="none" w:sz="0" w:space="0" w:color="auto"/>
            <w:right w:val="none" w:sz="0" w:space="0" w:color="auto"/>
          </w:divBdr>
        </w:div>
        <w:div w:id="1697003713">
          <w:marLeft w:val="0"/>
          <w:marRight w:val="0"/>
          <w:marTop w:val="0"/>
          <w:marBottom w:val="0"/>
          <w:divBdr>
            <w:top w:val="none" w:sz="0" w:space="0" w:color="auto"/>
            <w:left w:val="none" w:sz="0" w:space="0" w:color="auto"/>
            <w:bottom w:val="none" w:sz="0" w:space="0" w:color="auto"/>
            <w:right w:val="none" w:sz="0" w:space="0" w:color="auto"/>
          </w:divBdr>
        </w:div>
        <w:div w:id="1334063907">
          <w:marLeft w:val="0"/>
          <w:marRight w:val="0"/>
          <w:marTop w:val="0"/>
          <w:marBottom w:val="0"/>
          <w:divBdr>
            <w:top w:val="none" w:sz="0" w:space="0" w:color="auto"/>
            <w:left w:val="none" w:sz="0" w:space="0" w:color="auto"/>
            <w:bottom w:val="none" w:sz="0" w:space="0" w:color="auto"/>
            <w:right w:val="none" w:sz="0" w:space="0" w:color="auto"/>
          </w:divBdr>
        </w:div>
        <w:div w:id="1606382761">
          <w:marLeft w:val="0"/>
          <w:marRight w:val="0"/>
          <w:marTop w:val="0"/>
          <w:marBottom w:val="0"/>
          <w:divBdr>
            <w:top w:val="none" w:sz="0" w:space="0" w:color="auto"/>
            <w:left w:val="none" w:sz="0" w:space="0" w:color="auto"/>
            <w:bottom w:val="none" w:sz="0" w:space="0" w:color="auto"/>
            <w:right w:val="none" w:sz="0" w:space="0" w:color="auto"/>
          </w:divBdr>
        </w:div>
        <w:div w:id="435635829">
          <w:marLeft w:val="0"/>
          <w:marRight w:val="0"/>
          <w:marTop w:val="0"/>
          <w:marBottom w:val="0"/>
          <w:divBdr>
            <w:top w:val="none" w:sz="0" w:space="0" w:color="auto"/>
            <w:left w:val="none" w:sz="0" w:space="0" w:color="auto"/>
            <w:bottom w:val="none" w:sz="0" w:space="0" w:color="auto"/>
            <w:right w:val="none" w:sz="0" w:space="0" w:color="auto"/>
          </w:divBdr>
        </w:div>
        <w:div w:id="1234270356">
          <w:marLeft w:val="0"/>
          <w:marRight w:val="0"/>
          <w:marTop w:val="0"/>
          <w:marBottom w:val="0"/>
          <w:divBdr>
            <w:top w:val="none" w:sz="0" w:space="0" w:color="auto"/>
            <w:left w:val="none" w:sz="0" w:space="0" w:color="auto"/>
            <w:bottom w:val="none" w:sz="0" w:space="0" w:color="auto"/>
            <w:right w:val="none" w:sz="0" w:space="0" w:color="auto"/>
          </w:divBdr>
        </w:div>
        <w:div w:id="1248688319">
          <w:marLeft w:val="0"/>
          <w:marRight w:val="0"/>
          <w:marTop w:val="0"/>
          <w:marBottom w:val="0"/>
          <w:divBdr>
            <w:top w:val="none" w:sz="0" w:space="0" w:color="auto"/>
            <w:left w:val="none" w:sz="0" w:space="0" w:color="auto"/>
            <w:bottom w:val="none" w:sz="0" w:space="0" w:color="auto"/>
            <w:right w:val="none" w:sz="0" w:space="0" w:color="auto"/>
          </w:divBdr>
        </w:div>
        <w:div w:id="288558852">
          <w:marLeft w:val="0"/>
          <w:marRight w:val="0"/>
          <w:marTop w:val="0"/>
          <w:marBottom w:val="0"/>
          <w:divBdr>
            <w:top w:val="none" w:sz="0" w:space="0" w:color="auto"/>
            <w:left w:val="none" w:sz="0" w:space="0" w:color="auto"/>
            <w:bottom w:val="none" w:sz="0" w:space="0" w:color="auto"/>
            <w:right w:val="none" w:sz="0" w:space="0" w:color="auto"/>
          </w:divBdr>
        </w:div>
        <w:div w:id="468135753">
          <w:marLeft w:val="0"/>
          <w:marRight w:val="0"/>
          <w:marTop w:val="0"/>
          <w:marBottom w:val="0"/>
          <w:divBdr>
            <w:top w:val="none" w:sz="0" w:space="0" w:color="auto"/>
            <w:left w:val="none" w:sz="0" w:space="0" w:color="auto"/>
            <w:bottom w:val="none" w:sz="0" w:space="0" w:color="auto"/>
            <w:right w:val="none" w:sz="0" w:space="0" w:color="auto"/>
          </w:divBdr>
        </w:div>
        <w:div w:id="399597046">
          <w:marLeft w:val="0"/>
          <w:marRight w:val="0"/>
          <w:marTop w:val="0"/>
          <w:marBottom w:val="0"/>
          <w:divBdr>
            <w:top w:val="none" w:sz="0" w:space="0" w:color="auto"/>
            <w:left w:val="none" w:sz="0" w:space="0" w:color="auto"/>
            <w:bottom w:val="none" w:sz="0" w:space="0" w:color="auto"/>
            <w:right w:val="none" w:sz="0" w:space="0" w:color="auto"/>
          </w:divBdr>
        </w:div>
        <w:div w:id="962035221">
          <w:marLeft w:val="0"/>
          <w:marRight w:val="0"/>
          <w:marTop w:val="0"/>
          <w:marBottom w:val="0"/>
          <w:divBdr>
            <w:top w:val="none" w:sz="0" w:space="0" w:color="auto"/>
            <w:left w:val="none" w:sz="0" w:space="0" w:color="auto"/>
            <w:bottom w:val="none" w:sz="0" w:space="0" w:color="auto"/>
            <w:right w:val="none" w:sz="0" w:space="0" w:color="auto"/>
          </w:divBdr>
        </w:div>
        <w:div w:id="325940410">
          <w:marLeft w:val="0"/>
          <w:marRight w:val="0"/>
          <w:marTop w:val="0"/>
          <w:marBottom w:val="0"/>
          <w:divBdr>
            <w:top w:val="none" w:sz="0" w:space="0" w:color="auto"/>
            <w:left w:val="none" w:sz="0" w:space="0" w:color="auto"/>
            <w:bottom w:val="none" w:sz="0" w:space="0" w:color="auto"/>
            <w:right w:val="none" w:sz="0" w:space="0" w:color="auto"/>
          </w:divBdr>
        </w:div>
        <w:div w:id="598828247">
          <w:marLeft w:val="0"/>
          <w:marRight w:val="0"/>
          <w:marTop w:val="0"/>
          <w:marBottom w:val="0"/>
          <w:divBdr>
            <w:top w:val="none" w:sz="0" w:space="0" w:color="auto"/>
            <w:left w:val="none" w:sz="0" w:space="0" w:color="auto"/>
            <w:bottom w:val="none" w:sz="0" w:space="0" w:color="auto"/>
            <w:right w:val="none" w:sz="0" w:space="0" w:color="auto"/>
          </w:divBdr>
        </w:div>
        <w:div w:id="1032800496">
          <w:marLeft w:val="0"/>
          <w:marRight w:val="0"/>
          <w:marTop w:val="0"/>
          <w:marBottom w:val="0"/>
          <w:divBdr>
            <w:top w:val="none" w:sz="0" w:space="0" w:color="auto"/>
            <w:left w:val="none" w:sz="0" w:space="0" w:color="auto"/>
            <w:bottom w:val="none" w:sz="0" w:space="0" w:color="auto"/>
            <w:right w:val="none" w:sz="0" w:space="0" w:color="auto"/>
          </w:divBdr>
        </w:div>
        <w:div w:id="734281329">
          <w:marLeft w:val="0"/>
          <w:marRight w:val="0"/>
          <w:marTop w:val="0"/>
          <w:marBottom w:val="0"/>
          <w:divBdr>
            <w:top w:val="none" w:sz="0" w:space="0" w:color="auto"/>
            <w:left w:val="none" w:sz="0" w:space="0" w:color="auto"/>
            <w:bottom w:val="none" w:sz="0" w:space="0" w:color="auto"/>
            <w:right w:val="none" w:sz="0" w:space="0" w:color="auto"/>
          </w:divBdr>
        </w:div>
        <w:div w:id="1027751350">
          <w:marLeft w:val="0"/>
          <w:marRight w:val="0"/>
          <w:marTop w:val="0"/>
          <w:marBottom w:val="0"/>
          <w:divBdr>
            <w:top w:val="none" w:sz="0" w:space="0" w:color="auto"/>
            <w:left w:val="none" w:sz="0" w:space="0" w:color="auto"/>
            <w:bottom w:val="none" w:sz="0" w:space="0" w:color="auto"/>
            <w:right w:val="none" w:sz="0" w:space="0" w:color="auto"/>
          </w:divBdr>
        </w:div>
        <w:div w:id="1913464701">
          <w:marLeft w:val="0"/>
          <w:marRight w:val="0"/>
          <w:marTop w:val="0"/>
          <w:marBottom w:val="0"/>
          <w:divBdr>
            <w:top w:val="none" w:sz="0" w:space="0" w:color="auto"/>
            <w:left w:val="none" w:sz="0" w:space="0" w:color="auto"/>
            <w:bottom w:val="none" w:sz="0" w:space="0" w:color="auto"/>
            <w:right w:val="none" w:sz="0" w:space="0" w:color="auto"/>
          </w:divBdr>
        </w:div>
        <w:div w:id="83455949">
          <w:marLeft w:val="0"/>
          <w:marRight w:val="0"/>
          <w:marTop w:val="0"/>
          <w:marBottom w:val="0"/>
          <w:divBdr>
            <w:top w:val="none" w:sz="0" w:space="0" w:color="auto"/>
            <w:left w:val="none" w:sz="0" w:space="0" w:color="auto"/>
            <w:bottom w:val="none" w:sz="0" w:space="0" w:color="auto"/>
            <w:right w:val="none" w:sz="0" w:space="0" w:color="auto"/>
          </w:divBdr>
        </w:div>
        <w:div w:id="75789390">
          <w:marLeft w:val="0"/>
          <w:marRight w:val="0"/>
          <w:marTop w:val="0"/>
          <w:marBottom w:val="0"/>
          <w:divBdr>
            <w:top w:val="none" w:sz="0" w:space="0" w:color="auto"/>
            <w:left w:val="none" w:sz="0" w:space="0" w:color="auto"/>
            <w:bottom w:val="none" w:sz="0" w:space="0" w:color="auto"/>
            <w:right w:val="none" w:sz="0" w:space="0" w:color="auto"/>
          </w:divBdr>
        </w:div>
        <w:div w:id="452674215">
          <w:marLeft w:val="0"/>
          <w:marRight w:val="0"/>
          <w:marTop w:val="0"/>
          <w:marBottom w:val="0"/>
          <w:divBdr>
            <w:top w:val="none" w:sz="0" w:space="0" w:color="auto"/>
            <w:left w:val="none" w:sz="0" w:space="0" w:color="auto"/>
            <w:bottom w:val="none" w:sz="0" w:space="0" w:color="auto"/>
            <w:right w:val="none" w:sz="0" w:space="0" w:color="auto"/>
          </w:divBdr>
        </w:div>
        <w:div w:id="2041782387">
          <w:marLeft w:val="0"/>
          <w:marRight w:val="0"/>
          <w:marTop w:val="0"/>
          <w:marBottom w:val="0"/>
          <w:divBdr>
            <w:top w:val="none" w:sz="0" w:space="0" w:color="auto"/>
            <w:left w:val="none" w:sz="0" w:space="0" w:color="auto"/>
            <w:bottom w:val="none" w:sz="0" w:space="0" w:color="auto"/>
            <w:right w:val="none" w:sz="0" w:space="0" w:color="auto"/>
          </w:divBdr>
        </w:div>
        <w:div w:id="891967964">
          <w:marLeft w:val="0"/>
          <w:marRight w:val="0"/>
          <w:marTop w:val="0"/>
          <w:marBottom w:val="0"/>
          <w:divBdr>
            <w:top w:val="none" w:sz="0" w:space="0" w:color="auto"/>
            <w:left w:val="none" w:sz="0" w:space="0" w:color="auto"/>
            <w:bottom w:val="none" w:sz="0" w:space="0" w:color="auto"/>
            <w:right w:val="none" w:sz="0" w:space="0" w:color="auto"/>
          </w:divBdr>
        </w:div>
        <w:div w:id="733773530">
          <w:marLeft w:val="0"/>
          <w:marRight w:val="0"/>
          <w:marTop w:val="0"/>
          <w:marBottom w:val="0"/>
          <w:divBdr>
            <w:top w:val="none" w:sz="0" w:space="0" w:color="auto"/>
            <w:left w:val="none" w:sz="0" w:space="0" w:color="auto"/>
            <w:bottom w:val="none" w:sz="0" w:space="0" w:color="auto"/>
            <w:right w:val="none" w:sz="0" w:space="0" w:color="auto"/>
          </w:divBdr>
        </w:div>
        <w:div w:id="1178350595">
          <w:marLeft w:val="0"/>
          <w:marRight w:val="0"/>
          <w:marTop w:val="0"/>
          <w:marBottom w:val="0"/>
          <w:divBdr>
            <w:top w:val="none" w:sz="0" w:space="0" w:color="auto"/>
            <w:left w:val="none" w:sz="0" w:space="0" w:color="auto"/>
            <w:bottom w:val="none" w:sz="0" w:space="0" w:color="auto"/>
            <w:right w:val="none" w:sz="0" w:space="0" w:color="auto"/>
          </w:divBdr>
        </w:div>
        <w:div w:id="633099376">
          <w:marLeft w:val="0"/>
          <w:marRight w:val="0"/>
          <w:marTop w:val="0"/>
          <w:marBottom w:val="0"/>
          <w:divBdr>
            <w:top w:val="none" w:sz="0" w:space="0" w:color="auto"/>
            <w:left w:val="none" w:sz="0" w:space="0" w:color="auto"/>
            <w:bottom w:val="none" w:sz="0" w:space="0" w:color="auto"/>
            <w:right w:val="none" w:sz="0" w:space="0" w:color="auto"/>
          </w:divBdr>
        </w:div>
        <w:div w:id="1777478668">
          <w:marLeft w:val="0"/>
          <w:marRight w:val="0"/>
          <w:marTop w:val="0"/>
          <w:marBottom w:val="0"/>
          <w:divBdr>
            <w:top w:val="none" w:sz="0" w:space="0" w:color="auto"/>
            <w:left w:val="none" w:sz="0" w:space="0" w:color="auto"/>
            <w:bottom w:val="none" w:sz="0" w:space="0" w:color="auto"/>
            <w:right w:val="none" w:sz="0" w:space="0" w:color="auto"/>
          </w:divBdr>
        </w:div>
        <w:div w:id="2067800173">
          <w:marLeft w:val="0"/>
          <w:marRight w:val="0"/>
          <w:marTop w:val="0"/>
          <w:marBottom w:val="0"/>
          <w:divBdr>
            <w:top w:val="none" w:sz="0" w:space="0" w:color="auto"/>
            <w:left w:val="none" w:sz="0" w:space="0" w:color="auto"/>
            <w:bottom w:val="none" w:sz="0" w:space="0" w:color="auto"/>
            <w:right w:val="none" w:sz="0" w:space="0" w:color="auto"/>
          </w:divBdr>
        </w:div>
        <w:div w:id="338504201">
          <w:marLeft w:val="0"/>
          <w:marRight w:val="0"/>
          <w:marTop w:val="0"/>
          <w:marBottom w:val="0"/>
          <w:divBdr>
            <w:top w:val="none" w:sz="0" w:space="0" w:color="auto"/>
            <w:left w:val="none" w:sz="0" w:space="0" w:color="auto"/>
            <w:bottom w:val="none" w:sz="0" w:space="0" w:color="auto"/>
            <w:right w:val="none" w:sz="0" w:space="0" w:color="auto"/>
          </w:divBdr>
        </w:div>
        <w:div w:id="201527226">
          <w:marLeft w:val="0"/>
          <w:marRight w:val="0"/>
          <w:marTop w:val="0"/>
          <w:marBottom w:val="0"/>
          <w:divBdr>
            <w:top w:val="none" w:sz="0" w:space="0" w:color="auto"/>
            <w:left w:val="none" w:sz="0" w:space="0" w:color="auto"/>
            <w:bottom w:val="none" w:sz="0" w:space="0" w:color="auto"/>
            <w:right w:val="none" w:sz="0" w:space="0" w:color="auto"/>
          </w:divBdr>
        </w:div>
        <w:div w:id="756095930">
          <w:marLeft w:val="0"/>
          <w:marRight w:val="0"/>
          <w:marTop w:val="0"/>
          <w:marBottom w:val="0"/>
          <w:divBdr>
            <w:top w:val="none" w:sz="0" w:space="0" w:color="auto"/>
            <w:left w:val="none" w:sz="0" w:space="0" w:color="auto"/>
            <w:bottom w:val="none" w:sz="0" w:space="0" w:color="auto"/>
            <w:right w:val="none" w:sz="0" w:space="0" w:color="auto"/>
          </w:divBdr>
        </w:div>
        <w:div w:id="595408125">
          <w:marLeft w:val="0"/>
          <w:marRight w:val="0"/>
          <w:marTop w:val="0"/>
          <w:marBottom w:val="0"/>
          <w:divBdr>
            <w:top w:val="none" w:sz="0" w:space="0" w:color="auto"/>
            <w:left w:val="none" w:sz="0" w:space="0" w:color="auto"/>
            <w:bottom w:val="none" w:sz="0" w:space="0" w:color="auto"/>
            <w:right w:val="none" w:sz="0" w:space="0" w:color="auto"/>
          </w:divBdr>
        </w:div>
        <w:div w:id="1230574260">
          <w:marLeft w:val="0"/>
          <w:marRight w:val="0"/>
          <w:marTop w:val="0"/>
          <w:marBottom w:val="0"/>
          <w:divBdr>
            <w:top w:val="none" w:sz="0" w:space="0" w:color="auto"/>
            <w:left w:val="none" w:sz="0" w:space="0" w:color="auto"/>
            <w:bottom w:val="none" w:sz="0" w:space="0" w:color="auto"/>
            <w:right w:val="none" w:sz="0" w:space="0" w:color="auto"/>
          </w:divBdr>
        </w:div>
        <w:div w:id="1046951358">
          <w:marLeft w:val="0"/>
          <w:marRight w:val="0"/>
          <w:marTop w:val="0"/>
          <w:marBottom w:val="0"/>
          <w:divBdr>
            <w:top w:val="none" w:sz="0" w:space="0" w:color="auto"/>
            <w:left w:val="none" w:sz="0" w:space="0" w:color="auto"/>
            <w:bottom w:val="none" w:sz="0" w:space="0" w:color="auto"/>
            <w:right w:val="none" w:sz="0" w:space="0" w:color="auto"/>
          </w:divBdr>
        </w:div>
        <w:div w:id="1405764334">
          <w:marLeft w:val="0"/>
          <w:marRight w:val="0"/>
          <w:marTop w:val="0"/>
          <w:marBottom w:val="0"/>
          <w:divBdr>
            <w:top w:val="none" w:sz="0" w:space="0" w:color="auto"/>
            <w:left w:val="none" w:sz="0" w:space="0" w:color="auto"/>
            <w:bottom w:val="none" w:sz="0" w:space="0" w:color="auto"/>
            <w:right w:val="none" w:sz="0" w:space="0" w:color="auto"/>
          </w:divBdr>
        </w:div>
        <w:div w:id="2093895281">
          <w:marLeft w:val="0"/>
          <w:marRight w:val="0"/>
          <w:marTop w:val="0"/>
          <w:marBottom w:val="0"/>
          <w:divBdr>
            <w:top w:val="none" w:sz="0" w:space="0" w:color="auto"/>
            <w:left w:val="none" w:sz="0" w:space="0" w:color="auto"/>
            <w:bottom w:val="none" w:sz="0" w:space="0" w:color="auto"/>
            <w:right w:val="none" w:sz="0" w:space="0" w:color="auto"/>
          </w:divBdr>
        </w:div>
        <w:div w:id="798841238">
          <w:marLeft w:val="0"/>
          <w:marRight w:val="0"/>
          <w:marTop w:val="0"/>
          <w:marBottom w:val="0"/>
          <w:divBdr>
            <w:top w:val="none" w:sz="0" w:space="0" w:color="auto"/>
            <w:left w:val="none" w:sz="0" w:space="0" w:color="auto"/>
            <w:bottom w:val="none" w:sz="0" w:space="0" w:color="auto"/>
            <w:right w:val="none" w:sz="0" w:space="0" w:color="auto"/>
          </w:divBdr>
        </w:div>
        <w:div w:id="1174762202">
          <w:marLeft w:val="0"/>
          <w:marRight w:val="0"/>
          <w:marTop w:val="0"/>
          <w:marBottom w:val="0"/>
          <w:divBdr>
            <w:top w:val="none" w:sz="0" w:space="0" w:color="auto"/>
            <w:left w:val="none" w:sz="0" w:space="0" w:color="auto"/>
            <w:bottom w:val="none" w:sz="0" w:space="0" w:color="auto"/>
            <w:right w:val="none" w:sz="0" w:space="0" w:color="auto"/>
          </w:divBdr>
        </w:div>
        <w:div w:id="802625030">
          <w:marLeft w:val="0"/>
          <w:marRight w:val="0"/>
          <w:marTop w:val="0"/>
          <w:marBottom w:val="0"/>
          <w:divBdr>
            <w:top w:val="none" w:sz="0" w:space="0" w:color="auto"/>
            <w:left w:val="none" w:sz="0" w:space="0" w:color="auto"/>
            <w:bottom w:val="none" w:sz="0" w:space="0" w:color="auto"/>
            <w:right w:val="none" w:sz="0" w:space="0" w:color="auto"/>
          </w:divBdr>
        </w:div>
        <w:div w:id="366416466">
          <w:marLeft w:val="0"/>
          <w:marRight w:val="0"/>
          <w:marTop w:val="0"/>
          <w:marBottom w:val="0"/>
          <w:divBdr>
            <w:top w:val="none" w:sz="0" w:space="0" w:color="auto"/>
            <w:left w:val="none" w:sz="0" w:space="0" w:color="auto"/>
            <w:bottom w:val="none" w:sz="0" w:space="0" w:color="auto"/>
            <w:right w:val="none" w:sz="0" w:space="0" w:color="auto"/>
          </w:divBdr>
        </w:div>
        <w:div w:id="1692800770">
          <w:marLeft w:val="0"/>
          <w:marRight w:val="0"/>
          <w:marTop w:val="0"/>
          <w:marBottom w:val="0"/>
          <w:divBdr>
            <w:top w:val="none" w:sz="0" w:space="0" w:color="auto"/>
            <w:left w:val="none" w:sz="0" w:space="0" w:color="auto"/>
            <w:bottom w:val="none" w:sz="0" w:space="0" w:color="auto"/>
            <w:right w:val="none" w:sz="0" w:space="0" w:color="auto"/>
          </w:divBdr>
        </w:div>
        <w:div w:id="1166285712">
          <w:marLeft w:val="0"/>
          <w:marRight w:val="0"/>
          <w:marTop w:val="0"/>
          <w:marBottom w:val="0"/>
          <w:divBdr>
            <w:top w:val="none" w:sz="0" w:space="0" w:color="auto"/>
            <w:left w:val="none" w:sz="0" w:space="0" w:color="auto"/>
            <w:bottom w:val="none" w:sz="0" w:space="0" w:color="auto"/>
            <w:right w:val="none" w:sz="0" w:space="0" w:color="auto"/>
          </w:divBdr>
        </w:div>
        <w:div w:id="1969160240">
          <w:marLeft w:val="0"/>
          <w:marRight w:val="0"/>
          <w:marTop w:val="0"/>
          <w:marBottom w:val="0"/>
          <w:divBdr>
            <w:top w:val="none" w:sz="0" w:space="0" w:color="auto"/>
            <w:left w:val="none" w:sz="0" w:space="0" w:color="auto"/>
            <w:bottom w:val="none" w:sz="0" w:space="0" w:color="auto"/>
            <w:right w:val="none" w:sz="0" w:space="0" w:color="auto"/>
          </w:divBdr>
        </w:div>
        <w:div w:id="2094011846">
          <w:marLeft w:val="0"/>
          <w:marRight w:val="0"/>
          <w:marTop w:val="0"/>
          <w:marBottom w:val="0"/>
          <w:divBdr>
            <w:top w:val="none" w:sz="0" w:space="0" w:color="auto"/>
            <w:left w:val="none" w:sz="0" w:space="0" w:color="auto"/>
            <w:bottom w:val="none" w:sz="0" w:space="0" w:color="auto"/>
            <w:right w:val="none" w:sz="0" w:space="0" w:color="auto"/>
          </w:divBdr>
        </w:div>
        <w:div w:id="1373962722">
          <w:marLeft w:val="0"/>
          <w:marRight w:val="0"/>
          <w:marTop w:val="0"/>
          <w:marBottom w:val="0"/>
          <w:divBdr>
            <w:top w:val="none" w:sz="0" w:space="0" w:color="auto"/>
            <w:left w:val="none" w:sz="0" w:space="0" w:color="auto"/>
            <w:bottom w:val="none" w:sz="0" w:space="0" w:color="auto"/>
            <w:right w:val="none" w:sz="0" w:space="0" w:color="auto"/>
          </w:divBdr>
        </w:div>
      </w:divsChild>
    </w:div>
    <w:div w:id="15424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tadimissionepnrr@pec.lavoro.gov.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6E6C7DF8C66D64FA09FBC66BAE16EAE" ma:contentTypeVersion="0" ma:contentTypeDescription="Creare un nuovo documento." ma:contentTypeScope="" ma:versionID="ac6b82a5540b1df2441ae4586bb9deff">
  <xsd:schema xmlns:xsd="http://www.w3.org/2001/XMLSchema" xmlns:xs="http://www.w3.org/2001/XMLSchema" xmlns:p="http://schemas.microsoft.com/office/2006/metadata/properties" targetNamespace="http://schemas.microsoft.com/office/2006/metadata/properties" ma:root="true" ma:fieldsID="e334480698b6542c9c572ffbdd0cbd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EAC6E-4D3E-4775-BA14-733CA7D2B9E5}">
  <ds:schemaRefs>
    <ds:schemaRef ds:uri="http://schemas.openxmlformats.org/officeDocument/2006/bibliography"/>
  </ds:schemaRefs>
</ds:datastoreItem>
</file>

<file path=customXml/itemProps2.xml><?xml version="1.0" encoding="utf-8"?>
<ds:datastoreItem xmlns:ds="http://schemas.openxmlformats.org/officeDocument/2006/customXml" ds:itemID="{33431140-01A8-4734-95B7-CF03B737E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2B64A5-3FE1-400F-9AE5-B362EEFA4FBB}">
  <ds:schemaRefs>
    <ds:schemaRef ds:uri="http://schemas.microsoft.com/sharepoint/v3/contenttype/forms"/>
  </ds:schemaRefs>
</ds:datastoreItem>
</file>

<file path=customXml/itemProps4.xml><?xml version="1.0" encoding="utf-8"?>
<ds:datastoreItem xmlns:ds="http://schemas.openxmlformats.org/officeDocument/2006/customXml" ds:itemID="{E84FD547-DD2F-48E3-B008-50BDFF95F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9088</Words>
  <Characters>51803</Characters>
  <Application>Microsoft Office Word</Application>
  <DocSecurity>0</DocSecurity>
  <Lines>431</Lines>
  <Paragraphs>121</Paragraphs>
  <ScaleCrop>false</ScaleCrop>
  <Company/>
  <LinksUpToDate>false</LinksUpToDate>
  <CharactersWithSpaces>60770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Fois Emilio</dc:creator>
  <cp:keywords/>
  <dc:description/>
  <cp:lastModifiedBy>Mastroianni Laura</cp:lastModifiedBy>
  <cp:revision>12</cp:revision>
  <dcterms:created xsi:type="dcterms:W3CDTF">2023-01-16T09:13:00Z</dcterms:created>
  <dcterms:modified xsi:type="dcterms:W3CDTF">2023-02-08T13:16:00Z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0x010100F6E6C7DF8C66D64FA09FBC66BAE16EAE</vt:lpwstr>
  </property>
</Properties>
</file>